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kinsoku/>
        <w:wordWrap/>
        <w:overflowPunct/>
        <w:topLinePunct w:val="0"/>
        <w:autoSpaceDE/>
        <w:autoSpaceDN/>
        <w:bidi w:val="0"/>
        <w:spacing w:beforeAutospacing="0" w:afterAutospacing="0" w:line="560" w:lineRule="exact"/>
        <w:ind w:left="0"/>
        <w:jc w:val="center"/>
        <w:textAlignment w:val="auto"/>
        <w:rPr>
          <w:rFonts w:ascii="Times New Roman" w:hAnsi="Times New Roman" w:eastAsia="黑体"/>
          <w:sz w:val="28"/>
          <w:szCs w:val="28"/>
        </w:rPr>
      </w:pPr>
      <w:r>
        <w:rPr>
          <w:rFonts w:hint="eastAsia" w:ascii="Times New Roman" w:hAnsi="Times New Roman" w:eastAsia="黑体"/>
          <w:sz w:val="28"/>
          <w:szCs w:val="28"/>
        </w:rPr>
        <w:t>新型采油作业区以数字化转型为目标的全流程智能化协同管理</w:t>
      </w:r>
    </w:p>
    <w:p>
      <w:pPr>
        <w:pStyle w:val="2"/>
        <w:keepNext w:val="0"/>
        <w:keepLines w:val="0"/>
        <w:pageBreakBefore w:val="0"/>
        <w:kinsoku/>
        <w:wordWrap/>
        <w:overflowPunct/>
        <w:topLinePunct w:val="0"/>
        <w:autoSpaceDE/>
        <w:autoSpaceDN/>
        <w:bidi w:val="0"/>
        <w:spacing w:beforeAutospacing="0" w:afterAutospacing="0" w:line="560" w:lineRule="exact"/>
        <w:ind w:left="0"/>
        <w:jc w:val="center"/>
        <w:textAlignment w:val="auto"/>
        <w:rPr>
          <w:rFonts w:ascii="仿宋" w:hAnsi="仿宋" w:eastAsia="仿宋" w:cs="微软雅黑"/>
          <w:b/>
          <w:bCs/>
          <w:sz w:val="28"/>
          <w:szCs w:val="28"/>
        </w:rPr>
      </w:pPr>
      <w:r>
        <w:rPr>
          <w:rFonts w:hint="eastAsia" w:ascii="黑体" w:hAnsi="黑体" w:eastAsia="黑体" w:cs="黑体"/>
          <w:sz w:val="28"/>
          <w:szCs w:val="28"/>
        </w:rPr>
        <w:t>延长油田股份有限公司吴起采油厂</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hint="eastAsia" w:ascii="仿宋" w:hAnsi="仿宋" w:eastAsia="仿宋" w:cs="微软雅黑"/>
          <w:bCs/>
          <w:sz w:val="28"/>
          <w:szCs w:val="28"/>
        </w:rPr>
      </w:pPr>
      <w:r>
        <w:rPr>
          <w:rFonts w:hint="eastAsia" w:ascii="仿宋" w:hAnsi="仿宋" w:eastAsia="仿宋" w:cs="微软雅黑"/>
          <w:b/>
          <w:bCs/>
          <w:sz w:val="28"/>
          <w:szCs w:val="28"/>
        </w:rPr>
        <w:t>摘要：</w:t>
      </w:r>
      <w:r>
        <w:rPr>
          <w:rFonts w:hint="eastAsia" w:ascii="仿宋" w:hAnsi="仿宋" w:eastAsia="仿宋" w:cs="微软雅黑"/>
          <w:bCs/>
          <w:sz w:val="28"/>
          <w:szCs w:val="28"/>
        </w:rPr>
        <w:t>为贯彻落实党中央、国务院和省委、省政府关于加快发展数字经济、数字化转型的决策部署，延长石油积极响应与推动相关政策要求，将数字化转型融入企业发展战略。在集团公司领导思想指导下，集团公司信息中心、油田公司、吴起采油厂各级领导审时度势，精心谋划，以示范引领、规模建设为建设思路，选取吴起采油厂薛岔作业区为重点示范基地，提出以新型采油作业区以数字化转型为目标的全流程智能化协同管理作业区建设，该新型采油作业区，以“数字转型、在线闭环、智能驱动、降本增产”为基本思想，创新性地建立了一套适合数字化转型发展背</w:t>
      </w:r>
      <w:bookmarkStart w:id="73" w:name="_GoBack"/>
      <w:bookmarkEnd w:id="73"/>
      <w:r>
        <w:rPr>
          <w:rFonts w:hint="eastAsia" w:ascii="仿宋" w:hAnsi="仿宋" w:eastAsia="仿宋" w:cs="微软雅黑"/>
          <w:bCs/>
          <w:sz w:val="28"/>
          <w:szCs w:val="28"/>
        </w:rPr>
        <w:t>景下的全流程智能化协同管理体系，形成以智能分析为驱动、以“数据在线采集—异常智能分析—任务闭环协同—效果跟踪评价”为链条的一体化智能采油协同管理机制。通过近两年的运行，实现了已建数字化与作业区采油业务的深度融合，实现了作业区稳产增产、管理水平提高、生产成本降低的经营目标和经济效益。建设成果得到作业区、采油厂、油田公司、集团公司以及省工信厅、省发展和改革委会等部门的高度重视。作业区的完全数字化转型、协同管理创新是采油厂、油田公司、延长石油数字化转型、管理创新的基础，新型采油作业区的全流程智能化协同管理的成功实施与应用，为延长石油数字化转型树立了典型标杆、打造了样板工程，通过示范引领规模建设，为实现延长全面数字化转型打下重要基础。</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hint="eastAsia" w:ascii="仿宋" w:hAnsi="仿宋" w:eastAsia="仿宋" w:cs="微软雅黑"/>
          <w:bCs/>
          <w:sz w:val="28"/>
          <w:szCs w:val="28"/>
        </w:rPr>
      </w:pPr>
    </w:p>
    <w:p>
      <w:pPr>
        <w:pStyle w:val="2"/>
        <w:keepNext w:val="0"/>
        <w:keepLines w:val="0"/>
        <w:pageBreakBefore w:val="0"/>
        <w:kinsoku/>
        <w:wordWrap/>
        <w:overflowPunct/>
        <w:topLinePunct w:val="0"/>
        <w:autoSpaceDE/>
        <w:autoSpaceDN/>
        <w:bidi w:val="0"/>
        <w:spacing w:beforeAutospacing="0" w:afterAutospacing="0" w:line="560" w:lineRule="exact"/>
        <w:ind w:left="0"/>
        <w:textAlignment w:val="auto"/>
        <w:rPr>
          <w:sz w:val="28"/>
          <w:szCs w:val="28"/>
        </w:rPr>
      </w:pPr>
    </w:p>
    <w:p>
      <w:pPr>
        <w:keepNext w:val="0"/>
        <w:keepLines w:val="0"/>
        <w:pageBreakBefore w:val="0"/>
        <w:kinsoku/>
        <w:wordWrap/>
        <w:overflowPunct/>
        <w:topLinePunct w:val="0"/>
        <w:autoSpaceDE/>
        <w:autoSpaceDN/>
        <w:bidi w:val="0"/>
        <w:spacing w:beforeAutospacing="0" w:afterAutospacing="0" w:line="560" w:lineRule="exact"/>
        <w:ind w:left="0"/>
        <w:jc w:val="center"/>
        <w:textAlignment w:val="auto"/>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企业简介</w:t>
      </w:r>
    </w:p>
    <w:p>
      <w:pPr>
        <w:keepNext w:val="0"/>
        <w:keepLines w:val="0"/>
        <w:pageBreakBefore w:val="0"/>
        <w:widowControl/>
        <w:kinsoku/>
        <w:wordWrap/>
        <w:overflowPunct/>
        <w:topLinePunct w:val="0"/>
        <w:autoSpaceDE/>
        <w:autoSpaceDN/>
        <w:bidi w:val="0"/>
        <w:spacing w:beforeAutospacing="0" w:afterAutospacing="0" w:line="560" w:lineRule="exact"/>
        <w:ind w:left="0" w:firstLine="560" w:firstLineChars="200"/>
        <w:jc w:val="left"/>
        <w:textAlignment w:val="auto"/>
        <w:rPr>
          <w:rFonts w:ascii="仿宋" w:hAnsi="仿宋" w:eastAsia="仿宋" w:cs="Times New Roman"/>
          <w:sz w:val="28"/>
          <w:szCs w:val="28"/>
        </w:rPr>
      </w:pPr>
      <w:r>
        <w:rPr>
          <w:rFonts w:hint="eastAsia" w:ascii="仿宋" w:hAnsi="仿宋" w:eastAsia="仿宋" w:cs="Times New Roman"/>
          <w:sz w:val="28"/>
          <w:szCs w:val="28"/>
        </w:rPr>
        <w:t>吴起采油厂成立于1993年3月，隶属于延长油田股份有限公司，前身为延长油矿管理局吴起石油钻采公司。现有职工7500余名；下设32生产单位、9个直属非生产部门、15个机关职能科室和5个党群组织机构；拥有资源面积近2377平方公里；动用含油面积1298.24平方公里，动用石油地质储量5934.3万吨；共有各类油水井16279口，累计生产原油3677万吨；拥有总资产181.7亿元。</w:t>
      </w:r>
    </w:p>
    <w:p>
      <w:pPr>
        <w:keepNext w:val="0"/>
        <w:keepLines w:val="0"/>
        <w:pageBreakBefore w:val="0"/>
        <w:widowControl/>
        <w:kinsoku/>
        <w:wordWrap/>
        <w:overflowPunct/>
        <w:topLinePunct w:val="0"/>
        <w:autoSpaceDE/>
        <w:autoSpaceDN/>
        <w:bidi w:val="0"/>
        <w:spacing w:beforeAutospacing="0" w:afterAutospacing="0" w:line="560" w:lineRule="exact"/>
        <w:ind w:left="0" w:firstLine="560" w:firstLineChars="200"/>
        <w:jc w:val="left"/>
        <w:textAlignment w:val="auto"/>
        <w:rPr>
          <w:rFonts w:ascii="仿宋" w:hAnsi="仿宋" w:eastAsia="仿宋" w:cs="Times New Roman"/>
          <w:sz w:val="28"/>
          <w:szCs w:val="28"/>
        </w:rPr>
      </w:pPr>
      <w:r>
        <w:rPr>
          <w:rFonts w:hint="eastAsia" w:ascii="仿宋" w:hAnsi="仿宋" w:eastAsia="仿宋" w:cs="Times New Roman"/>
          <w:sz w:val="28"/>
          <w:szCs w:val="28"/>
        </w:rPr>
        <w:t>1993年，依靠2口废弃旧井起步，当年生产原油0.5万吨。到2000年底，形成了10万吨的生产规模，原油产销体系初步形成。2005年上划重组后，综合实力明显增强，当年原油产量突破百万吨大关。“十一五”末实现翻番，达213 万吨，成为集团首个年产原油200万吨级采油厂。2020年以来，采油厂坚持科技增效和管理增效“两条腿”走路的战略部署，依靠“体制机制改革、数字油田建设、生产模式转变、主辅逐步分离”，在减员增效的同时保持年产250万吨以上。</w:t>
      </w:r>
    </w:p>
    <w:p>
      <w:pPr>
        <w:keepNext w:val="0"/>
        <w:keepLines w:val="0"/>
        <w:pageBreakBefore w:val="0"/>
        <w:kinsoku/>
        <w:wordWrap/>
        <w:overflowPunct/>
        <w:topLinePunct w:val="0"/>
        <w:autoSpaceDE/>
        <w:autoSpaceDN/>
        <w:bidi w:val="0"/>
        <w:spacing w:beforeAutospacing="0" w:afterAutospacing="0" w:line="560" w:lineRule="exact"/>
        <w:ind w:left="0" w:firstLine="560" w:firstLineChars="200"/>
        <w:jc w:val="left"/>
        <w:textAlignment w:val="auto"/>
        <w:rPr>
          <w:rFonts w:ascii="仿宋" w:hAnsi="仿宋" w:eastAsia="仿宋" w:cs="Times New Roman"/>
          <w:sz w:val="28"/>
          <w:szCs w:val="28"/>
        </w:rPr>
        <w:sectPr>
          <w:footerReference r:id="rId5" w:type="first"/>
          <w:headerReference r:id="rId3" w:type="default"/>
          <w:footerReference r:id="rId4" w:type="default"/>
          <w:pgSz w:w="11906" w:h="16838"/>
          <w:pgMar w:top="1984" w:right="1531" w:bottom="1474" w:left="1531" w:header="851" w:footer="992" w:gutter="0"/>
          <w:pgNumType w:fmt="lowerRoman"/>
          <w:cols w:space="425" w:num="1"/>
          <w:docGrid w:type="linesAndChars" w:linePitch="312" w:charSpace="0"/>
        </w:sectPr>
      </w:pPr>
      <w:r>
        <w:rPr>
          <w:rFonts w:hint="eastAsia" w:ascii="仿宋" w:hAnsi="仿宋" w:eastAsia="仿宋" w:cs="Times New Roman"/>
          <w:sz w:val="28"/>
          <w:szCs w:val="28"/>
        </w:rPr>
        <w:t>近年来，吴起采油厂在数字化转型与智能化发展方面勇于探索、不断耕耘，已完成多个典型示范场景应用建设，是延长石油数字化转型发展、管理模式改革创新标杆单位，先后被授予全国文明单位、全国设备管</w:t>
      </w:r>
      <w:r>
        <w:rPr>
          <w:rFonts w:hint="eastAsia" w:ascii="仿宋" w:hAnsi="仿宋" w:eastAsia="仿宋" w:cs="Times New Roman"/>
          <w:spacing w:val="-12"/>
          <w:sz w:val="28"/>
          <w:szCs w:val="28"/>
        </w:rPr>
        <w:t>理优秀单位、陕西省“安全生产先进单位”、全省安</w:t>
      </w:r>
      <w:r>
        <w:rPr>
          <w:rFonts w:hint="eastAsia" w:ascii="仿宋" w:hAnsi="仿宋" w:eastAsia="仿宋" w:cs="Times New Roman"/>
          <w:sz w:val="28"/>
          <w:szCs w:val="28"/>
        </w:rPr>
        <w:t>全生产专项整治三年行动先进单位等荣誉称号，荣获延长石油集团管理和创新类特殊贡献奖，第十四届全国石油和化工企业管理创新成果奖，入选陕西省数字化应用场景典型案例，陕西省数字经济示范案例。</w:t>
      </w:r>
    </w:p>
    <w:p>
      <w:pPr>
        <w:pStyle w:val="2"/>
        <w:keepNext w:val="0"/>
        <w:keepLines w:val="0"/>
        <w:pageBreakBefore w:val="0"/>
        <w:kinsoku/>
        <w:wordWrap/>
        <w:overflowPunct/>
        <w:topLinePunct w:val="0"/>
        <w:autoSpaceDE/>
        <w:autoSpaceDN/>
        <w:bidi w:val="0"/>
        <w:spacing w:beforeAutospacing="0" w:afterAutospacing="0" w:line="560" w:lineRule="exact"/>
        <w:ind w:left="0" w:firstLine="562" w:firstLineChars="200"/>
        <w:textAlignment w:val="auto"/>
        <w:outlineLvl w:val="0"/>
        <w:rPr>
          <w:rFonts w:ascii="仿宋" w:hAnsi="仿宋" w:eastAsia="仿宋"/>
          <w:b/>
          <w:bCs/>
          <w:sz w:val="28"/>
          <w:szCs w:val="28"/>
        </w:rPr>
      </w:pPr>
      <w:bookmarkStart w:id="0" w:name="_Toc141278933"/>
      <w:r>
        <w:rPr>
          <w:rFonts w:hint="eastAsia" w:ascii="仿宋" w:hAnsi="仿宋" w:eastAsia="仿宋"/>
          <w:b/>
          <w:bCs/>
          <w:sz w:val="28"/>
          <w:szCs w:val="28"/>
        </w:rPr>
        <w:t>一、</w:t>
      </w:r>
      <w:bookmarkStart w:id="1" w:name="_Hlk141278215"/>
      <w:r>
        <w:rPr>
          <w:rFonts w:hint="eastAsia" w:ascii="仿宋" w:hAnsi="仿宋" w:eastAsia="仿宋"/>
          <w:b/>
          <w:bCs/>
          <w:sz w:val="28"/>
          <w:szCs w:val="28"/>
        </w:rPr>
        <w:t>新型采油作业区</w:t>
      </w:r>
      <w:bookmarkEnd w:id="1"/>
      <w:r>
        <w:rPr>
          <w:rFonts w:hint="eastAsia" w:ascii="仿宋" w:hAnsi="仿宋" w:eastAsia="仿宋"/>
          <w:b/>
          <w:bCs/>
          <w:sz w:val="28"/>
          <w:szCs w:val="28"/>
        </w:rPr>
        <w:t>以数字化转型为目标的全流程智能化协同管理的实施背景</w:t>
      </w:r>
      <w:bookmarkEnd w:id="0"/>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1"/>
        <w:rPr>
          <w:rFonts w:ascii="仿宋" w:hAnsi="仿宋" w:eastAsia="仿宋"/>
          <w:b/>
          <w:bCs/>
          <w:sz w:val="28"/>
          <w:szCs w:val="28"/>
        </w:rPr>
      </w:pPr>
      <w:bookmarkStart w:id="2" w:name="_Toc141278934"/>
      <w:bookmarkStart w:id="3" w:name="_Toc14360"/>
      <w:r>
        <w:rPr>
          <w:rFonts w:hint="eastAsia" w:ascii="仿宋" w:hAnsi="仿宋" w:eastAsia="仿宋"/>
          <w:b/>
          <w:bCs/>
          <w:sz w:val="28"/>
          <w:szCs w:val="28"/>
        </w:rPr>
        <w:t>（一）加快推进国有企业数字化转型工作的需要</w:t>
      </w:r>
      <w:bookmarkEnd w:id="2"/>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2</w:t>
      </w:r>
      <w:r>
        <w:rPr>
          <w:rFonts w:ascii="仿宋" w:hAnsi="仿宋" w:eastAsia="仿宋" w:cs="Times New Roman"/>
          <w:sz w:val="28"/>
          <w:szCs w:val="28"/>
        </w:rPr>
        <w:t>020</w:t>
      </w:r>
      <w:r>
        <w:rPr>
          <w:rFonts w:hint="eastAsia" w:ascii="仿宋" w:hAnsi="仿宋" w:eastAsia="仿宋" w:cs="Times New Roman"/>
          <w:sz w:val="28"/>
          <w:szCs w:val="28"/>
        </w:rPr>
        <w:t>年8月2</w:t>
      </w:r>
      <w:r>
        <w:rPr>
          <w:rFonts w:ascii="仿宋" w:hAnsi="仿宋" w:eastAsia="仿宋" w:cs="Times New Roman"/>
          <w:sz w:val="28"/>
          <w:szCs w:val="28"/>
        </w:rPr>
        <w:t>1</w:t>
      </w:r>
      <w:r>
        <w:rPr>
          <w:rFonts w:hint="eastAsia" w:ascii="仿宋" w:hAnsi="仿宋" w:eastAsia="仿宋" w:cs="Times New Roman"/>
          <w:sz w:val="28"/>
          <w:szCs w:val="28"/>
        </w:rPr>
        <w:t>日，国务院国资委印发《关于加快推进国有企业数字化转型工作的通知》，就推动国有企业数字化转型作出全面部署。2</w:t>
      </w:r>
      <w:r>
        <w:rPr>
          <w:rFonts w:ascii="仿宋" w:hAnsi="仿宋" w:eastAsia="仿宋" w:cs="Times New Roman"/>
          <w:sz w:val="28"/>
          <w:szCs w:val="28"/>
        </w:rPr>
        <w:t>021</w:t>
      </w:r>
      <w:r>
        <w:rPr>
          <w:rFonts w:hint="eastAsia" w:ascii="仿宋" w:hAnsi="仿宋" w:eastAsia="仿宋" w:cs="Times New Roman"/>
          <w:sz w:val="28"/>
          <w:szCs w:val="28"/>
        </w:rPr>
        <w:t>年1</w:t>
      </w:r>
      <w:r>
        <w:rPr>
          <w:rFonts w:ascii="仿宋" w:hAnsi="仿宋" w:eastAsia="仿宋" w:cs="Times New Roman"/>
          <w:sz w:val="28"/>
          <w:szCs w:val="28"/>
        </w:rPr>
        <w:t>0</w:t>
      </w:r>
      <w:r>
        <w:rPr>
          <w:rFonts w:hint="eastAsia" w:ascii="仿宋" w:hAnsi="仿宋" w:eastAsia="仿宋" w:cs="Times New Roman"/>
          <w:sz w:val="28"/>
          <w:szCs w:val="28"/>
        </w:rPr>
        <w:t>月1</w:t>
      </w:r>
      <w:r>
        <w:rPr>
          <w:rFonts w:ascii="仿宋" w:hAnsi="仿宋" w:eastAsia="仿宋" w:cs="Times New Roman"/>
          <w:sz w:val="28"/>
          <w:szCs w:val="28"/>
        </w:rPr>
        <w:t>8</w:t>
      </w:r>
      <w:r>
        <w:rPr>
          <w:rFonts w:hint="eastAsia" w:ascii="仿宋" w:hAnsi="仿宋" w:eastAsia="仿宋" w:cs="Times New Roman"/>
          <w:sz w:val="28"/>
          <w:szCs w:val="28"/>
        </w:rPr>
        <w:t>日，中共中央政治局进行第三十四次集体学习，习近平总书记强调：促进数字技术与实体经济深度融合，赋能传统产业转型升级，催生新产业新业态新模式，不断做强做优做大我国数字经济。1</w:t>
      </w:r>
      <w:r>
        <w:rPr>
          <w:rFonts w:ascii="仿宋" w:hAnsi="仿宋" w:eastAsia="仿宋" w:cs="Times New Roman"/>
          <w:sz w:val="28"/>
          <w:szCs w:val="28"/>
        </w:rPr>
        <w:t>0</w:t>
      </w:r>
      <w:r>
        <w:rPr>
          <w:rFonts w:hint="eastAsia" w:ascii="仿宋" w:hAnsi="仿宋" w:eastAsia="仿宋" w:cs="Times New Roman"/>
          <w:sz w:val="28"/>
          <w:szCs w:val="28"/>
        </w:rPr>
        <w:t>月</w:t>
      </w:r>
      <w:r>
        <w:rPr>
          <w:rFonts w:ascii="仿宋" w:hAnsi="仿宋" w:eastAsia="仿宋" w:cs="Times New Roman"/>
          <w:sz w:val="28"/>
          <w:szCs w:val="28"/>
        </w:rPr>
        <w:t>21</w:t>
      </w:r>
      <w:r>
        <w:rPr>
          <w:rFonts w:hint="eastAsia" w:ascii="仿宋" w:hAnsi="仿宋" w:eastAsia="仿宋" w:cs="Times New Roman"/>
          <w:sz w:val="28"/>
          <w:szCs w:val="28"/>
        </w:rPr>
        <w:t>日，习近平总书记指出：石油能源建设对我们国家意义重大，中国作为制造业大国，要发展实体经济，能源的饭碗必须端在自己手里。2</w:t>
      </w:r>
      <w:r>
        <w:rPr>
          <w:rFonts w:ascii="仿宋" w:hAnsi="仿宋" w:eastAsia="仿宋" w:cs="Times New Roman"/>
          <w:sz w:val="28"/>
          <w:szCs w:val="28"/>
        </w:rPr>
        <w:t>022</w:t>
      </w:r>
      <w:r>
        <w:rPr>
          <w:rFonts w:hint="eastAsia" w:ascii="仿宋" w:hAnsi="仿宋" w:eastAsia="仿宋" w:cs="Times New Roman"/>
          <w:sz w:val="28"/>
          <w:szCs w:val="28"/>
        </w:rPr>
        <w:t>年1</w:t>
      </w:r>
      <w:r>
        <w:rPr>
          <w:rFonts w:ascii="仿宋" w:hAnsi="仿宋" w:eastAsia="仿宋" w:cs="Times New Roman"/>
          <w:sz w:val="28"/>
          <w:szCs w:val="28"/>
        </w:rPr>
        <w:t>0</w:t>
      </w:r>
      <w:r>
        <w:rPr>
          <w:rFonts w:hint="eastAsia" w:ascii="仿宋" w:hAnsi="仿宋" w:eastAsia="仿宋" w:cs="Times New Roman"/>
          <w:sz w:val="28"/>
          <w:szCs w:val="28"/>
        </w:rPr>
        <w:t>月陕西省政府印发“十四五”数字经济发展规划的通知，强调加快能源化工等重点行业数字化转型升级、深化两化融合发展、培育数字化转型服务生态。</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为贯彻落实党中央、国务院和省委、省政府关于加快发展数字经济、数字化转型的决策部署，延长石油积极响应与推动相关政策要求，将数字化转型融入企业发展战略，大力推动数字化在管理决策、生产制造、供应链协同、服务营销等各个环节中的全面应用和深入融合，目标通过数字化转型，推动管理创新、技术创新、机制创新，再造一个结构优、能耗低、效益好、实力强的“新延长”。</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为具体落实和推进延长石油企业发展战略和延长石油数字化转型建设，2</w:t>
      </w:r>
      <w:r>
        <w:rPr>
          <w:rFonts w:ascii="仿宋" w:hAnsi="仿宋" w:eastAsia="仿宋" w:cs="Times New Roman"/>
          <w:sz w:val="28"/>
          <w:szCs w:val="28"/>
        </w:rPr>
        <w:t>021</w:t>
      </w:r>
      <w:r>
        <w:rPr>
          <w:rFonts w:hint="eastAsia" w:ascii="仿宋" w:hAnsi="仿宋" w:eastAsia="仿宋" w:cs="Times New Roman"/>
          <w:sz w:val="28"/>
          <w:szCs w:val="28"/>
        </w:rPr>
        <w:t>年，在集团、油田公司、吴起采油厂各级领导审时度势，精心谋划，以示范引领、规模建设为建设思路，选取吴起采油厂薛岔作业区为重点示范基地，目标树立典型标杆、</w:t>
      </w:r>
      <w:bookmarkStart w:id="4" w:name="_Hlk137734036"/>
      <w:r>
        <w:rPr>
          <w:rFonts w:hint="eastAsia" w:ascii="仿宋" w:hAnsi="仿宋" w:eastAsia="仿宋" w:cs="Times New Roman"/>
          <w:sz w:val="28"/>
          <w:szCs w:val="28"/>
        </w:rPr>
        <w:t>打造样板工程、示范引领规模建设</w:t>
      </w:r>
      <w:bookmarkEnd w:id="4"/>
      <w:r>
        <w:rPr>
          <w:rFonts w:hint="eastAsia" w:ascii="仿宋" w:hAnsi="仿宋" w:eastAsia="仿宋" w:cs="Times New Roman"/>
          <w:sz w:val="28"/>
          <w:szCs w:val="28"/>
        </w:rPr>
        <w:t>，为实现延长全面数字化转型提供基础。</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1"/>
        <w:rPr>
          <w:rFonts w:ascii="仿宋" w:hAnsi="仿宋" w:eastAsia="仿宋"/>
          <w:b/>
          <w:bCs/>
          <w:sz w:val="28"/>
          <w:szCs w:val="28"/>
        </w:rPr>
      </w:pPr>
      <w:bookmarkStart w:id="5" w:name="_Toc141278935"/>
      <w:r>
        <w:rPr>
          <w:rFonts w:hint="eastAsia" w:ascii="仿宋" w:hAnsi="仿宋" w:eastAsia="仿宋"/>
          <w:b/>
          <w:bCs/>
          <w:sz w:val="28"/>
          <w:szCs w:val="28"/>
        </w:rPr>
        <w:t>（二）</w:t>
      </w:r>
      <w:r>
        <w:rPr>
          <w:rFonts w:hint="eastAsia" w:ascii="仿宋" w:hAnsi="仿宋" w:eastAsia="仿宋"/>
          <w:b/>
          <w:bCs/>
          <w:sz w:val="28"/>
          <w:szCs w:val="28"/>
          <w:lang w:eastAsia="zh-Hans"/>
        </w:rPr>
        <w:t>数字化转型是行业发展的必然选择</w:t>
      </w:r>
      <w:bookmarkEnd w:id="5"/>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近年来，世界经济放缓，能源化工行业市场震荡，全球工业竞争格局深度调整，以人工智能、物联网、云计算等新一代信息技术与工业融合为主的第四次工业革命已然到来，石油行业面临着外部环境变化和传统管理模式难以为继的压力，转型发展迫在眉睫。</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为贯彻落实党中央、国务院数字化转型的相关精神，中石油、中石化、中海油把数字化转型与智能化发展均列入了“十四五”企业战略发展规划中，分别阐述了数字化转型的重要性和紧迫性，积极部署、统筹谋划，在实施中调整组织机构、集中优势力量，通过总体设计、分层实施取得了丰硕的成绩。</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延长石油确定了加快产业结构调整，实施数字化转型的战略目标，确定了1+N布局，由集团公司信息化领导小组统筹部署，把基层生产的数字化转型作为优先突破点，通过基层示范建设，打造新型采油作业区，继而横向推广，纵向延伸，逐步实现全覆盖。</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1"/>
        <w:rPr>
          <w:rFonts w:ascii="仿宋" w:hAnsi="仿宋" w:eastAsia="仿宋"/>
          <w:b/>
          <w:bCs/>
          <w:sz w:val="28"/>
          <w:szCs w:val="28"/>
        </w:rPr>
      </w:pPr>
      <w:bookmarkStart w:id="6" w:name="_Toc141278936"/>
      <w:r>
        <w:rPr>
          <w:rFonts w:hint="eastAsia" w:ascii="仿宋" w:hAnsi="仿宋" w:eastAsia="仿宋"/>
          <w:b/>
          <w:bCs/>
          <w:sz w:val="28"/>
          <w:szCs w:val="28"/>
        </w:rPr>
        <w:t>（三）延长油田自身发展</w:t>
      </w:r>
      <w:r>
        <w:rPr>
          <w:rFonts w:hint="eastAsia" w:ascii="仿宋" w:hAnsi="仿宋" w:eastAsia="仿宋"/>
          <w:b/>
          <w:bCs/>
          <w:sz w:val="28"/>
          <w:szCs w:val="28"/>
          <w:lang w:eastAsia="zh-Hans"/>
        </w:rPr>
        <w:t>需要</w:t>
      </w:r>
      <w:bookmarkEnd w:id="6"/>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延长油田采油生产现场散布于黄土高原的山山峁峁、沟壑纵横之间，采油工人常年与大山为伴、与油井为伍，每天重复着计量化验、测产盘库、巡检维修等工作，不仅苦、脏、累、险，而且枯燥乏味。2019年起，吴起采油厂以“关爱员工、呵护油井”为出发点，以生产成本、劳动强度、安全风险 “三降低”，经济效益、工作效率、管控水平“三提升”为目标，积极探索数字化转型，目前数字化建设覆盖率达到30%。</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作业区作为完全的基层生产单元，其业务流程、管理流程具有一定的闭环特性和独立特性。因此，作业区顺理成章成为数字化转型最终落地的最小单元。作业区的完整数字化转型、管理创新是采油厂、油田公司、延长石油数字化转型、管理创新的基础。当前，作业区级生产管理存在如下问题：</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1）生产现场管理类业务缺少数字化支撑：油井计量、水井填报、含水化验、异常上报等任务频率大、执行人员多、数据采集重要程度高，但当前生产现场数据采集以人工纸质填报为主，不在线、难监管，数据的准确性和及时性难以保障。</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2）动态分析类业务缺少智能化技术支撑：生产动态分析、生产参数管理、巡检管理等任务是及时发现问题、分析问题、处置问题的重要环节，其及时性和准确性是减少误产时间、提高生产时率、实现稳产增产的重要前提，但当前生产动态分析以人工经验判断为主，缺少智能分析、智能诊断，分析的及时性和准确性难以保障。</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3）业务协同管理类业务缺少平台化支撑：异常管理、修井作业、设备保养、安全管理等任务环节多、链条长、多岗位协同要求高，但当前业务协同以人工线下流转为主，不闭环、难跟踪，业务协同及时性和有效性难以保障。</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4）缺少保障机制导致难以发挥长期效用：作业区现行岗位、制度、流程与已建成的数字化工程不匹配，导致信息化难以与作业区业务深度融合、无法赋能作业区业务；数字化人才水平参差不齐，数字化工程的掌握程度和发挥效用程度难以保障；已建成数字化工程缺少系统性的运维机制，导致数字化建成后期难以发挥作用。新型数字化转型建设模式下，需系统性地考虑作业区岗位、制度、流程的数字化转型再造、人才数字化培训、系统工程运维。</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5）经济效益难以明确与评价：数字化带来的经济效益难以明确与评价，新型数字化转型建设模式下，数字化转型带来的经济效益需实实在在落地到作业区采油业务，以看得见的数字进行展现，使数字化真正赋能采油生产，带来效益。</w:t>
      </w:r>
      <w:bookmarkEnd w:id="3"/>
    </w:p>
    <w:p>
      <w:pPr>
        <w:pStyle w:val="2"/>
        <w:keepNext w:val="0"/>
        <w:keepLines w:val="0"/>
        <w:pageBreakBefore w:val="0"/>
        <w:kinsoku/>
        <w:wordWrap/>
        <w:overflowPunct/>
        <w:topLinePunct w:val="0"/>
        <w:autoSpaceDE/>
        <w:autoSpaceDN/>
        <w:bidi w:val="0"/>
        <w:spacing w:beforeAutospacing="0" w:afterAutospacing="0" w:line="560" w:lineRule="exact"/>
        <w:ind w:left="0" w:firstLine="562" w:firstLineChars="200"/>
        <w:textAlignment w:val="auto"/>
        <w:outlineLvl w:val="0"/>
        <w:rPr>
          <w:rFonts w:ascii="仿宋" w:hAnsi="仿宋" w:eastAsia="仿宋"/>
          <w:b/>
          <w:bCs/>
          <w:sz w:val="28"/>
          <w:szCs w:val="28"/>
        </w:rPr>
      </w:pPr>
      <w:bookmarkStart w:id="7" w:name="_Toc141278937"/>
      <w:r>
        <w:rPr>
          <w:rFonts w:hint="eastAsia" w:ascii="仿宋" w:hAnsi="仿宋" w:eastAsia="仿宋"/>
          <w:b/>
          <w:bCs/>
          <w:sz w:val="28"/>
          <w:szCs w:val="28"/>
        </w:rPr>
        <w:t>二、新型采油作业区以数字化转型为目标的全流程智能化协同管理的主要做法</w:t>
      </w:r>
      <w:bookmarkEnd w:id="7"/>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1"/>
        <w:rPr>
          <w:rFonts w:ascii="仿宋" w:hAnsi="仿宋" w:eastAsia="仿宋"/>
          <w:b/>
          <w:bCs/>
          <w:sz w:val="28"/>
          <w:szCs w:val="28"/>
        </w:rPr>
      </w:pPr>
      <w:bookmarkStart w:id="8" w:name="_Toc141278938"/>
      <w:r>
        <w:rPr>
          <w:rFonts w:hint="eastAsia" w:ascii="仿宋" w:hAnsi="仿宋" w:eastAsia="仿宋"/>
          <w:b/>
          <w:bCs/>
          <w:sz w:val="28"/>
          <w:szCs w:val="28"/>
        </w:rPr>
        <w:t>（一）</w:t>
      </w:r>
      <w:r>
        <w:rPr>
          <w:rFonts w:hint="eastAsia" w:ascii="仿宋" w:hAnsi="仿宋" w:eastAsia="仿宋"/>
          <w:b/>
          <w:bCs/>
          <w:sz w:val="28"/>
          <w:szCs w:val="28"/>
          <w:lang w:eastAsia="zh-Hans"/>
        </w:rPr>
        <w:t>构建全流程智能化协同管理的总体架构</w:t>
      </w:r>
      <w:bookmarkEnd w:id="8"/>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9" w:name="_Toc141278939"/>
      <w:r>
        <w:rPr>
          <w:rFonts w:hint="eastAsia" w:ascii="仿宋" w:hAnsi="仿宋" w:eastAsia="仿宋"/>
          <w:b/>
          <w:bCs/>
          <w:sz w:val="28"/>
          <w:szCs w:val="28"/>
        </w:rPr>
        <w:t>1、总体思路</w:t>
      </w:r>
      <w:bookmarkEnd w:id="9"/>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bookmarkStart w:id="10" w:name="_Hlk137730842"/>
      <w:r>
        <w:rPr>
          <w:rFonts w:hint="eastAsia" w:ascii="仿宋" w:hAnsi="仿宋" w:eastAsia="仿宋" w:cs="Times New Roman"/>
          <w:sz w:val="28"/>
          <w:szCs w:val="28"/>
        </w:rPr>
        <w:t>通过对国内油田数字化转型的深入调</w:t>
      </w:r>
      <w:r>
        <w:rPr>
          <w:rFonts w:hint="eastAsia" w:ascii="仿宋" w:hAnsi="仿宋" w:eastAsia="仿宋" w:cs="Times New Roman"/>
          <w:sz w:val="28"/>
          <w:szCs w:val="28"/>
          <w:lang w:eastAsia="zh-Hans"/>
        </w:rPr>
        <w:t>研</w:t>
      </w:r>
      <w:r>
        <w:rPr>
          <w:rFonts w:hint="eastAsia" w:ascii="仿宋" w:hAnsi="仿宋" w:eastAsia="仿宋" w:cs="Times New Roman"/>
          <w:sz w:val="28"/>
          <w:szCs w:val="28"/>
        </w:rPr>
        <w:t>，结合作业区生产运行现状，围绕“1个中心”，完成“2个创新” ，从“5个方向”进行数字化转型建设</w:t>
      </w:r>
      <w:bookmarkEnd w:id="10"/>
      <w:r>
        <w:rPr>
          <w:rFonts w:hint="eastAsia" w:ascii="仿宋" w:hAnsi="仿宋" w:eastAsia="仿宋" w:cs="Times New Roman"/>
          <w:sz w:val="28"/>
          <w:szCs w:val="28"/>
        </w:rPr>
        <w:t>。</w:t>
      </w:r>
    </w:p>
    <w:p>
      <w:pPr>
        <w:keepNext w:val="0"/>
        <w:keepLines w:val="0"/>
        <w:pageBreakBefore w:val="0"/>
        <w:kinsoku/>
        <w:wordWrap/>
        <w:overflowPunct/>
        <w:topLinePunct w:val="0"/>
        <w:autoSpaceDE/>
        <w:autoSpaceDN/>
        <w:bidi w:val="0"/>
        <w:spacing w:beforeAutospacing="0" w:afterAutospacing="0" w:line="560" w:lineRule="exact"/>
        <w:ind w:left="0"/>
        <w:jc w:val="center"/>
        <w:textAlignment w:val="auto"/>
        <w:rPr>
          <w:sz w:val="28"/>
          <w:szCs w:val="28"/>
        </w:rPr>
      </w:pPr>
      <w:r>
        <w:rPr>
          <w:sz w:val="28"/>
          <w:szCs w:val="28"/>
        </w:rPr>
        <w:drawing>
          <wp:inline distT="0" distB="0" distL="0" distR="0">
            <wp:extent cx="5235575" cy="14560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310434" cy="1477257"/>
                    </a:xfrm>
                    <a:prstGeom prst="rect">
                      <a:avLst/>
                    </a:prstGeom>
                    <a:noFill/>
                  </pic:spPr>
                </pic:pic>
              </a:graphicData>
            </a:graphic>
          </wp:inline>
        </w:drawing>
      </w:r>
    </w:p>
    <w:p>
      <w:pPr>
        <w:keepNext w:val="0"/>
        <w:keepLines w:val="0"/>
        <w:pageBreakBefore w:val="0"/>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b/>
          <w:bCs/>
          <w:sz w:val="28"/>
          <w:szCs w:val="28"/>
        </w:rPr>
      </w:pPr>
      <w:r>
        <w:rPr>
          <w:rFonts w:hint="eastAsia" w:ascii="仿宋" w:hAnsi="仿宋" w:eastAsia="仿宋" w:cs="仿宋"/>
          <w:b/>
          <w:bCs/>
          <w:sz w:val="28"/>
          <w:szCs w:val="28"/>
        </w:rPr>
        <w:t>图1 全流程智能化协同管理建设思路图</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（1）一个中心，数字转型、在线闭环、智能驱动、降本增效。</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（2）两个创新，</w:t>
      </w:r>
      <w:bookmarkStart w:id="11" w:name="_Hlk139790620"/>
      <w:r>
        <w:rPr>
          <w:rFonts w:hint="eastAsia" w:ascii="仿宋" w:hAnsi="仿宋" w:eastAsia="仿宋" w:cs="Times New Roman"/>
          <w:sz w:val="28"/>
          <w:szCs w:val="28"/>
        </w:rPr>
        <w:t>采油业务流程创新</w:t>
      </w:r>
      <w:bookmarkEnd w:id="11"/>
      <w:r>
        <w:rPr>
          <w:rFonts w:hint="eastAsia" w:ascii="仿宋" w:hAnsi="仿宋" w:eastAsia="仿宋" w:cs="Times New Roman"/>
          <w:sz w:val="28"/>
          <w:szCs w:val="28"/>
        </w:rPr>
        <w:t>、管理模式创新。</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（3）五个方向，业务数据化、协同平台化、分析智能化、保障机制成熟化、经济效益最大化。</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12" w:name="_Toc113461443"/>
      <w:bookmarkStart w:id="13" w:name="_Toc141278940"/>
      <w:r>
        <w:rPr>
          <w:rFonts w:hint="eastAsia" w:ascii="仿宋" w:hAnsi="仿宋" w:eastAsia="仿宋"/>
          <w:b/>
          <w:bCs/>
          <w:sz w:val="28"/>
          <w:szCs w:val="28"/>
        </w:rPr>
        <w:t>2、</w:t>
      </w:r>
      <w:bookmarkEnd w:id="12"/>
      <w:r>
        <w:rPr>
          <w:rFonts w:hint="eastAsia" w:ascii="仿宋" w:hAnsi="仿宋" w:eastAsia="仿宋"/>
          <w:b/>
          <w:bCs/>
          <w:sz w:val="28"/>
          <w:szCs w:val="28"/>
          <w:lang w:eastAsia="zh-Hans"/>
        </w:rPr>
        <w:t>确立</w:t>
      </w:r>
      <w:r>
        <w:rPr>
          <w:rFonts w:hint="eastAsia" w:ascii="仿宋" w:hAnsi="仿宋" w:eastAsia="仿宋"/>
          <w:b/>
          <w:bCs/>
          <w:sz w:val="28"/>
          <w:szCs w:val="28"/>
        </w:rPr>
        <w:t>采油业务</w:t>
      </w:r>
      <w:r>
        <w:rPr>
          <w:rFonts w:hint="eastAsia" w:ascii="仿宋" w:hAnsi="仿宋" w:eastAsia="仿宋"/>
          <w:b/>
          <w:bCs/>
          <w:sz w:val="28"/>
          <w:szCs w:val="28"/>
          <w:lang w:eastAsia="zh-Hans"/>
        </w:rPr>
        <w:t>全</w:t>
      </w:r>
      <w:r>
        <w:rPr>
          <w:rFonts w:hint="eastAsia" w:ascii="仿宋" w:hAnsi="仿宋" w:eastAsia="仿宋"/>
          <w:b/>
          <w:bCs/>
          <w:sz w:val="28"/>
          <w:szCs w:val="28"/>
        </w:rPr>
        <w:t>流程</w:t>
      </w:r>
      <w:r>
        <w:rPr>
          <w:rFonts w:hint="eastAsia" w:ascii="仿宋" w:hAnsi="仿宋" w:eastAsia="仿宋"/>
          <w:b/>
          <w:bCs/>
          <w:sz w:val="28"/>
          <w:szCs w:val="28"/>
          <w:lang w:eastAsia="zh-Hans"/>
        </w:rPr>
        <w:t>的方向</w:t>
      </w:r>
      <w:bookmarkEnd w:id="13"/>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通过“5个方向”的建设，最终形成以智能分析为驱动、以“数据在线采集→异常智能分析→任务闭环协同→效果跟踪评价”为链条的一体化全流程智能化协同管理的采油业务。</w:t>
      </w:r>
    </w:p>
    <w:p>
      <w:pPr>
        <w:pStyle w:val="2"/>
        <w:keepNext w:val="0"/>
        <w:keepLines w:val="0"/>
        <w:pageBreakBefore w:val="0"/>
        <w:kinsoku/>
        <w:wordWrap/>
        <w:overflowPunct/>
        <w:topLinePunct w:val="0"/>
        <w:autoSpaceDE/>
        <w:autoSpaceDN/>
        <w:bidi w:val="0"/>
        <w:spacing w:beforeAutospacing="0" w:afterAutospacing="0" w:line="560" w:lineRule="exact"/>
        <w:ind w:left="0"/>
        <w:jc w:val="center"/>
        <w:textAlignment w:val="auto"/>
        <w:rPr>
          <w:rFonts w:ascii="仿宋" w:hAnsi="仿宋" w:eastAsia="仿宋"/>
          <w:b/>
          <w:bCs/>
          <w:sz w:val="28"/>
          <w:szCs w:val="28"/>
        </w:rPr>
      </w:pPr>
      <w:r>
        <w:rPr>
          <w:sz w:val="28"/>
          <w:szCs w:val="28"/>
        </w:rPr>
        <w:drawing>
          <wp:inline distT="0" distB="0" distL="0" distR="0">
            <wp:extent cx="4654550" cy="2249805"/>
            <wp:effectExtent l="19050" t="19050" r="0" b="0"/>
            <wp:docPr id="10" name="图片 10" descr="屏幕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屏幕上有字&#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75175" cy="2260379"/>
                    </a:xfrm>
                    <a:prstGeom prst="rect">
                      <a:avLst/>
                    </a:prstGeom>
                    <a:noFill/>
                    <a:ln>
                      <a:solidFill>
                        <a:schemeClr val="bg2"/>
                      </a:solidFill>
                    </a:ln>
                  </pic:spPr>
                </pic:pic>
              </a:graphicData>
            </a:graphic>
          </wp:inline>
        </w:drawing>
      </w:r>
    </w:p>
    <w:p>
      <w:pPr>
        <w:keepNext w:val="0"/>
        <w:keepLines w:val="0"/>
        <w:pageBreakBefore w:val="0"/>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b/>
          <w:bCs/>
          <w:sz w:val="28"/>
          <w:szCs w:val="28"/>
        </w:rPr>
      </w:pPr>
      <w:r>
        <w:rPr>
          <w:rFonts w:hint="eastAsia" w:ascii="仿宋" w:hAnsi="仿宋" w:eastAsia="仿宋" w:cs="仿宋"/>
          <w:b/>
          <w:bCs/>
          <w:sz w:val="28"/>
          <w:szCs w:val="28"/>
        </w:rPr>
        <w:t>图</w:t>
      </w:r>
      <w:r>
        <w:rPr>
          <w:rFonts w:ascii="仿宋" w:hAnsi="仿宋" w:eastAsia="仿宋" w:cs="仿宋"/>
          <w:b/>
          <w:bCs/>
          <w:sz w:val="28"/>
          <w:szCs w:val="28"/>
        </w:rPr>
        <w:t>2</w:t>
      </w:r>
      <w:r>
        <w:rPr>
          <w:rFonts w:hint="eastAsia" w:ascii="仿宋" w:hAnsi="仿宋" w:eastAsia="仿宋" w:cs="仿宋"/>
          <w:b/>
          <w:bCs/>
          <w:sz w:val="28"/>
          <w:szCs w:val="28"/>
        </w:rPr>
        <w:t xml:space="preserve"> 一体化全流程智能化协同管理的采油业务流程图</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14" w:name="_Toc141278941"/>
      <w:r>
        <w:rPr>
          <w:rFonts w:ascii="仿宋" w:hAnsi="仿宋" w:eastAsia="仿宋"/>
          <w:b/>
          <w:bCs/>
          <w:sz w:val="28"/>
          <w:szCs w:val="28"/>
        </w:rPr>
        <w:t>3</w:t>
      </w:r>
      <w:r>
        <w:rPr>
          <w:rFonts w:hint="eastAsia" w:ascii="仿宋" w:hAnsi="仿宋" w:eastAsia="仿宋"/>
          <w:b/>
          <w:bCs/>
          <w:sz w:val="28"/>
          <w:szCs w:val="28"/>
        </w:rPr>
        <w:t>、</w:t>
      </w:r>
      <w:r>
        <w:rPr>
          <w:rFonts w:hint="eastAsia" w:ascii="仿宋" w:hAnsi="仿宋" w:eastAsia="仿宋"/>
          <w:b/>
          <w:bCs/>
          <w:sz w:val="28"/>
          <w:szCs w:val="28"/>
          <w:lang w:eastAsia="zh-Hans"/>
        </w:rPr>
        <w:t>建立新型</w:t>
      </w:r>
      <w:r>
        <w:rPr>
          <w:rFonts w:hint="eastAsia" w:ascii="仿宋" w:hAnsi="仿宋" w:eastAsia="仿宋"/>
          <w:b/>
          <w:bCs/>
          <w:sz w:val="28"/>
          <w:szCs w:val="28"/>
        </w:rPr>
        <w:t>管理模式</w:t>
      </w:r>
      <w:bookmarkEnd w:id="14"/>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作业区围绕安全环保、生产运行、技术分析及管理决策，在油水井数字化、联合站数字化、集输管线数字化建设的基础上，改造工作站、注水站，建立区域运维中心站，利用生产运行管理平台与智能薛岔APP，完成生产运行管理模式转变与数字化转型发展，最终实现作业区统筹协调、区域运维中心智能化运行、井场与增压站无人值守。</w:t>
      </w:r>
    </w:p>
    <w:p>
      <w:pPr>
        <w:pStyle w:val="2"/>
        <w:keepNext w:val="0"/>
        <w:keepLines w:val="0"/>
        <w:pageBreakBefore w:val="0"/>
        <w:kinsoku/>
        <w:wordWrap/>
        <w:overflowPunct/>
        <w:topLinePunct w:val="0"/>
        <w:autoSpaceDE/>
        <w:autoSpaceDN/>
        <w:bidi w:val="0"/>
        <w:adjustRightInd w:val="0"/>
        <w:spacing w:beforeAutospacing="0" w:afterAutospacing="0" w:line="560" w:lineRule="exact"/>
        <w:ind w:left="0"/>
        <w:jc w:val="center"/>
        <w:textAlignment w:val="auto"/>
        <w:rPr>
          <w:rFonts w:ascii="仿宋" w:hAnsi="仿宋" w:eastAsia="仿宋"/>
          <w:sz w:val="28"/>
          <w:szCs w:val="28"/>
        </w:rPr>
      </w:pPr>
      <w:r>
        <w:rPr>
          <w:rFonts w:ascii="仿宋" w:hAnsi="仿宋" w:eastAsia="仿宋"/>
          <w:sz w:val="28"/>
          <w:szCs w:val="28"/>
        </w:rPr>
        <w:drawing>
          <wp:inline distT="0" distB="0" distL="0" distR="0">
            <wp:extent cx="5286375" cy="21628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304602" cy="2170292"/>
                    </a:xfrm>
                    <a:prstGeom prst="rect">
                      <a:avLst/>
                    </a:prstGeom>
                    <a:noFill/>
                  </pic:spPr>
                </pic:pic>
              </a:graphicData>
            </a:graphic>
          </wp:inline>
        </w:drawing>
      </w:r>
    </w:p>
    <w:p>
      <w:pPr>
        <w:pStyle w:val="2"/>
        <w:keepNext w:val="0"/>
        <w:keepLines w:val="0"/>
        <w:pageBreakBefore w:val="0"/>
        <w:kinsoku/>
        <w:wordWrap/>
        <w:overflowPunct/>
        <w:topLinePunct w:val="0"/>
        <w:autoSpaceDE/>
        <w:autoSpaceDN/>
        <w:bidi w:val="0"/>
        <w:adjustRightInd w:val="0"/>
        <w:spacing w:beforeAutospacing="0" w:afterAutospacing="0" w:line="560" w:lineRule="exact"/>
        <w:ind w:left="0"/>
        <w:jc w:val="center"/>
        <w:textAlignment w:val="auto"/>
        <w:rPr>
          <w:rFonts w:ascii="仿宋" w:hAnsi="仿宋" w:eastAsia="仿宋" w:cs="Times New Roman"/>
          <w:sz w:val="28"/>
          <w:szCs w:val="28"/>
        </w:rPr>
      </w:pPr>
      <w:r>
        <w:rPr>
          <w:rFonts w:ascii="仿宋" w:hAnsi="仿宋" w:eastAsia="仿宋" w:cs="宋体"/>
          <w:b/>
          <w:bCs/>
          <w:sz w:val="28"/>
          <w:szCs w:val="28"/>
        </w:rPr>
        <w:t>图3</w:t>
      </w:r>
      <w:r>
        <w:rPr>
          <w:rFonts w:hint="eastAsia" w:ascii="仿宋" w:hAnsi="仿宋" w:eastAsia="仿宋" w:cs="宋体"/>
          <w:b/>
          <w:bCs/>
          <w:sz w:val="28"/>
          <w:szCs w:val="28"/>
        </w:rPr>
        <w:t>新型管理模式运行示意图</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15" w:name="_Toc141278942"/>
      <w:r>
        <w:rPr>
          <w:rFonts w:ascii="仿宋" w:hAnsi="仿宋" w:eastAsia="仿宋"/>
          <w:b/>
          <w:bCs/>
          <w:sz w:val="28"/>
          <w:szCs w:val="28"/>
        </w:rPr>
        <w:t>4</w:t>
      </w:r>
      <w:r>
        <w:rPr>
          <w:rFonts w:hint="eastAsia" w:ascii="仿宋" w:hAnsi="仿宋" w:eastAsia="仿宋"/>
          <w:b/>
          <w:bCs/>
          <w:sz w:val="28"/>
          <w:szCs w:val="28"/>
        </w:rPr>
        <w:t>、建设内容</w:t>
      </w:r>
      <w:bookmarkEnd w:id="15"/>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bookmarkStart w:id="16" w:name="_Hlk137648673"/>
      <w:r>
        <w:rPr>
          <w:rFonts w:hint="eastAsia" w:ascii="仿宋" w:hAnsi="仿宋" w:eastAsia="仿宋" w:cs="Times New Roman"/>
          <w:sz w:val="28"/>
          <w:szCs w:val="28"/>
        </w:rPr>
        <w:t>（1）</w:t>
      </w:r>
      <w:bookmarkEnd w:id="16"/>
      <w:r>
        <w:rPr>
          <w:rFonts w:hint="eastAsia" w:ascii="仿宋" w:hAnsi="仿宋" w:eastAsia="仿宋" w:cs="Times New Roman"/>
          <w:sz w:val="28"/>
          <w:szCs w:val="28"/>
        </w:rPr>
        <w:t>业务数据化</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包括物联网感知建设与现场数据采集线上化两个部分。</w:t>
      </w:r>
    </w:p>
    <w:p>
      <w:pPr>
        <w:pStyle w:val="2"/>
        <w:keepNext w:val="0"/>
        <w:keepLines w:val="0"/>
        <w:pageBreakBefore w:val="0"/>
        <w:kinsoku/>
        <w:wordWrap/>
        <w:overflowPunct/>
        <w:topLinePunct w:val="0"/>
        <w:autoSpaceDE/>
        <w:autoSpaceDN/>
        <w:bidi w:val="0"/>
        <w:spacing w:beforeAutospacing="0" w:afterAutospacing="0" w:line="560" w:lineRule="exact"/>
        <w:ind w:left="0" w:firstLine="562" w:firstLineChars="200"/>
        <w:textAlignment w:val="auto"/>
        <w:rPr>
          <w:ins w:id="0" w:author="张杰卿" w:date="2023-07-21T19:40:00Z"/>
          <w:rFonts w:ascii="仿宋" w:hAnsi="仿宋" w:eastAsia="仿宋" w:cs="Times New Roman"/>
          <w:sz w:val="28"/>
          <w:szCs w:val="28"/>
        </w:rPr>
      </w:pPr>
      <w:r>
        <w:rPr>
          <w:rFonts w:hint="eastAsia" w:ascii="仿宋" w:hAnsi="仿宋" w:eastAsia="仿宋" w:cs="Times New Roman"/>
          <w:b/>
          <w:bCs/>
          <w:sz w:val="28"/>
          <w:szCs w:val="28"/>
        </w:rPr>
        <w:t>物联网感知建设</w:t>
      </w:r>
      <w:r>
        <w:rPr>
          <w:rFonts w:hint="eastAsia" w:ascii="仿宋" w:hAnsi="仿宋" w:eastAsia="仿宋" w:cs="Times New Roman"/>
          <w:sz w:val="28"/>
          <w:szCs w:val="28"/>
        </w:rPr>
        <w:t>，为适应特殊地理及气候条件，作业区物联网建设的前端采集在通用物联网的基础上，引入边缘计算技术，前端直接告警推送，效率提高耗费降低；终端传输采用光纤+无线网桥的低成本建设模式；后端应用功能包括各类报表、油水井工况诊断与告警、数据综合分析、智能巡井、远程控制等，应用形式支撑PC、移动端。</w:t>
      </w:r>
    </w:p>
    <w:p>
      <w:pPr>
        <w:pStyle w:val="2"/>
        <w:keepNext w:val="0"/>
        <w:keepLines w:val="0"/>
        <w:pageBreakBefore w:val="0"/>
        <w:kinsoku/>
        <w:wordWrap/>
        <w:overflowPunct/>
        <w:topLinePunct w:val="0"/>
        <w:autoSpaceDE/>
        <w:autoSpaceDN/>
        <w:bidi w:val="0"/>
        <w:spacing w:beforeAutospacing="0" w:afterAutospacing="0" w:line="560" w:lineRule="exact"/>
        <w:ind w:left="0" w:firstLine="562" w:firstLineChars="200"/>
        <w:textAlignment w:val="auto"/>
        <w:rPr>
          <w:rFonts w:ascii="仿宋" w:hAnsi="仿宋" w:eastAsia="仿宋" w:cs="Times New Roman"/>
          <w:sz w:val="28"/>
          <w:szCs w:val="28"/>
        </w:rPr>
      </w:pPr>
      <w:r>
        <w:rPr>
          <w:rFonts w:hint="eastAsia" w:ascii="仿宋" w:hAnsi="仿宋" w:eastAsia="仿宋" w:cs="Times New Roman"/>
          <w:b/>
          <w:bCs/>
          <w:sz w:val="28"/>
          <w:szCs w:val="28"/>
        </w:rPr>
        <w:t>现场</w:t>
      </w:r>
      <w:bookmarkStart w:id="17" w:name="_Hlk137648264"/>
      <w:r>
        <w:rPr>
          <w:rFonts w:hint="eastAsia" w:ascii="仿宋" w:hAnsi="仿宋" w:eastAsia="仿宋" w:cs="Times New Roman"/>
          <w:b/>
          <w:bCs/>
          <w:sz w:val="28"/>
          <w:szCs w:val="28"/>
        </w:rPr>
        <w:t>数据采集线上化</w:t>
      </w:r>
      <w:bookmarkEnd w:id="17"/>
      <w:r>
        <w:rPr>
          <w:rFonts w:hint="eastAsia" w:ascii="仿宋" w:hAnsi="仿宋" w:eastAsia="仿宋" w:cs="Times New Roman"/>
          <w:b/>
          <w:bCs/>
          <w:sz w:val="28"/>
          <w:szCs w:val="28"/>
        </w:rPr>
        <w:t>，</w:t>
      </w:r>
      <w:bookmarkStart w:id="18" w:name="_Hlk137710446"/>
      <w:r>
        <w:rPr>
          <w:rFonts w:hint="eastAsia" w:ascii="仿宋" w:hAnsi="仿宋" w:eastAsia="仿宋" w:cs="Times New Roman"/>
          <w:sz w:val="28"/>
          <w:szCs w:val="28"/>
        </w:rPr>
        <w:t>梳理现场原有工作方式，将原纸质填报、计算、誊抄等工作，转型为在线采集、自动匹配、自动剔除、智能计算、自动流转的标准业务流程。最终将</w:t>
      </w:r>
      <w:bookmarkStart w:id="19" w:name="_Hlk137648019"/>
      <w:r>
        <w:rPr>
          <w:rFonts w:hint="eastAsia" w:ascii="仿宋" w:hAnsi="仿宋" w:eastAsia="仿宋" w:cs="Times New Roman"/>
          <w:sz w:val="28"/>
          <w:szCs w:val="28"/>
        </w:rPr>
        <w:t>生产现场数据采集类业务全部搬至线上</w:t>
      </w:r>
      <w:bookmarkEnd w:id="19"/>
      <w:r>
        <w:rPr>
          <w:rFonts w:hint="eastAsia" w:ascii="仿宋" w:hAnsi="仿宋" w:eastAsia="仿宋" w:cs="Times New Roman"/>
          <w:sz w:val="28"/>
          <w:szCs w:val="28"/>
        </w:rPr>
        <w:t>，实现生产运行现场数据的全在线。</w:t>
      </w:r>
      <w:bookmarkEnd w:id="18"/>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仿宋"/>
          <w:b/>
          <w:bCs/>
          <w:sz w:val="28"/>
          <w:szCs w:val="28"/>
          <w:lang w:eastAsia="zh-Hans"/>
        </w:rPr>
      </w:pPr>
      <w:r>
        <w:rPr>
          <w:rFonts w:hint="eastAsia" w:ascii="仿宋" w:hAnsi="仿宋" w:eastAsia="仿宋" w:cs="Times New Roman"/>
          <w:sz w:val="28"/>
          <w:szCs w:val="28"/>
        </w:rPr>
        <w:t>指挥中心通过分析油水井工况、产量等动态数据，按照油田公司动态数据采集规范及现场分析需要，下达现场数据采集任务清单，采油工在APP接收任务并按要求进行填报，作业区对过程进行监督，对结果进行考核。</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lang w:eastAsia="zh-Hans"/>
        </w:rPr>
      </w:pPr>
      <w:bookmarkStart w:id="20" w:name="_Hlk137648768"/>
      <w:bookmarkStart w:id="21" w:name="_Hlk137648731"/>
      <w:r>
        <w:rPr>
          <w:rFonts w:hint="eastAsia" w:ascii="仿宋" w:hAnsi="仿宋" w:eastAsia="仿宋" w:cs="Times New Roman"/>
          <w:sz w:val="28"/>
          <w:szCs w:val="28"/>
        </w:rPr>
        <w:t>（</w:t>
      </w:r>
      <w:r>
        <w:rPr>
          <w:rFonts w:ascii="仿宋" w:hAnsi="仿宋" w:eastAsia="仿宋" w:cs="Times New Roman"/>
          <w:sz w:val="28"/>
          <w:szCs w:val="28"/>
        </w:rPr>
        <w:t>2</w:t>
      </w:r>
      <w:r>
        <w:rPr>
          <w:rFonts w:hint="eastAsia" w:ascii="仿宋" w:hAnsi="仿宋" w:eastAsia="仿宋" w:cs="Times New Roman"/>
          <w:sz w:val="28"/>
          <w:szCs w:val="28"/>
        </w:rPr>
        <w:t>）协同管理</w:t>
      </w:r>
      <w:r>
        <w:rPr>
          <w:rFonts w:ascii="仿宋" w:hAnsi="仿宋" w:eastAsia="仿宋" w:cs="Times New Roman"/>
          <w:sz w:val="28"/>
          <w:szCs w:val="28"/>
        </w:rPr>
        <w:t>平台</w:t>
      </w:r>
      <w:r>
        <w:rPr>
          <w:rFonts w:hint="eastAsia" w:ascii="仿宋" w:hAnsi="仿宋" w:eastAsia="仿宋" w:cs="Times New Roman"/>
          <w:sz w:val="28"/>
          <w:szCs w:val="28"/>
        </w:rPr>
        <w:t>化</w:t>
      </w:r>
      <w:bookmarkEnd w:id="20"/>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梳理现有业务流程与上下游岗位间协同方式，形成标准化的全流程业务协同闭环。全流程业务协同的起点是“智能分析”与“人工核实”，全流程业务协同的主体内容包括“任务配置、任务下达、任务交互、任务记录”，最终导向“效果评估”。通过便捷的协同功能，将各岗位执行任务在线闭环，方便快速地实现业务顺畅流转和过程监督，从而提高任务执行效率。</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（3）</w:t>
      </w:r>
      <w:r>
        <w:rPr>
          <w:rFonts w:ascii="仿宋" w:hAnsi="仿宋" w:eastAsia="仿宋" w:cs="Times New Roman"/>
          <w:sz w:val="28"/>
          <w:szCs w:val="28"/>
        </w:rPr>
        <w:t>动态分析智能</w:t>
      </w:r>
      <w:r>
        <w:rPr>
          <w:rFonts w:hint="eastAsia" w:ascii="仿宋" w:hAnsi="仿宋" w:eastAsia="仿宋" w:cs="Times New Roman"/>
          <w:sz w:val="28"/>
          <w:szCs w:val="28"/>
        </w:rPr>
        <w:t>化</w:t>
      </w:r>
      <w:bookmarkEnd w:id="21"/>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通过单参数趋势分析模型、功图分析模型、单井动态分析模型，自动、智能地针对油水井工况、设备、产量进行趋势分析与诊断，及时准确地发现油水井生产异常，辅助以人工核实，确定异常原因和相应处置措施。</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目前已形成单参数趋势分析模型2</w:t>
      </w:r>
      <w:r>
        <w:rPr>
          <w:rFonts w:ascii="仿宋" w:hAnsi="仿宋" w:eastAsia="仿宋" w:cs="Times New Roman"/>
          <w:sz w:val="28"/>
          <w:szCs w:val="28"/>
        </w:rPr>
        <w:t>7</w:t>
      </w:r>
      <w:r>
        <w:rPr>
          <w:rFonts w:hint="eastAsia" w:ascii="仿宋" w:hAnsi="仿宋" w:eastAsia="仿宋" w:cs="Times New Roman"/>
          <w:sz w:val="28"/>
          <w:szCs w:val="28"/>
        </w:rPr>
        <w:t>个，功图分析模型2个，单井动态分析模型</w:t>
      </w:r>
      <w:r>
        <w:rPr>
          <w:rFonts w:ascii="仿宋" w:hAnsi="仿宋" w:eastAsia="仿宋" w:cs="Times New Roman"/>
          <w:sz w:val="28"/>
          <w:szCs w:val="28"/>
        </w:rPr>
        <w:t>5</w:t>
      </w:r>
      <w:r>
        <w:rPr>
          <w:rFonts w:hint="eastAsia" w:ascii="仿宋" w:hAnsi="仿宋" w:eastAsia="仿宋" w:cs="Times New Roman"/>
          <w:sz w:val="28"/>
          <w:szCs w:val="28"/>
        </w:rPr>
        <w:t>个，完成对油井工况、水井工况、油井设备、水井设备、产量变化等异常的智能诊断。</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w:t>
      </w:r>
      <w:r>
        <w:rPr>
          <w:rFonts w:ascii="仿宋" w:hAnsi="仿宋" w:eastAsia="仿宋" w:cs="Times New Roman"/>
          <w:sz w:val="28"/>
          <w:szCs w:val="28"/>
        </w:rPr>
        <w:t>4</w:t>
      </w:r>
      <w:r>
        <w:rPr>
          <w:rFonts w:hint="eastAsia" w:ascii="仿宋" w:hAnsi="仿宋" w:eastAsia="仿宋" w:cs="Times New Roman"/>
          <w:sz w:val="28"/>
          <w:szCs w:val="28"/>
        </w:rPr>
        <w:t>）保障机制成熟化</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考虑到现场业务的复杂性，涉及的人员多、岗位多、实施内容多，以及作业区职工目前信息化素质与接受能力，采用分步实施、扎实推进、逐一落地的实施原则，保障实施工作的有序开展。突出“人”的转型，通过大量的培训与贴身的服务，持续跟进，实现软硬件与管理制度的融合，管理模式与“人”的融合。加强培训，落实软件各功能的实施及管理制度的执行。</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lang w:eastAsia="zh-Hans"/>
        </w:rPr>
      </w:pPr>
      <w:r>
        <w:rPr>
          <w:rFonts w:hint="eastAsia" w:ascii="仿宋" w:hAnsi="仿宋" w:eastAsia="仿宋" w:cs="Times New Roman"/>
          <w:sz w:val="28"/>
          <w:szCs w:val="28"/>
        </w:rPr>
        <w:t>（5）经济效益最大化</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为保证经济效益最大化，一方面，提高管理效率，缩短油水井异常处置周期，充分利用业务数据化及动态分析智能化成果，大幅降低异常发现时间，在利用全业务流程协同化，加强对异常处置时间的监管，实现异常及时发现、及时上报、及时研判、及时处理，提高油水井生产时率；同时通过设备材料的线上管理，在作业区范围内灵活调配闲置设备材料，既减少设备材料成本，也提高设备维修效率。</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sz w:val="28"/>
          <w:szCs w:val="28"/>
        </w:rPr>
      </w:pPr>
      <w:r>
        <w:rPr>
          <w:rFonts w:hint="eastAsia" w:ascii="仿宋" w:hAnsi="仿宋" w:eastAsia="仿宋" w:cs="Times New Roman"/>
          <w:sz w:val="28"/>
          <w:szCs w:val="28"/>
        </w:rPr>
        <w:t>另一方面，加强经济效益评价工作，分析高成本原因，走低成本发展之路，对作业区油井进行特征分析、分类评价，针对高耗能低产出的油井及时改造；对各项业务工作量综合评估，合理划分工作岗位，减员增效；对易耗易损设备材料进行寿命分析，对频繁维修设备或更换易耗易损材料的油井进行综合研判。</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1"/>
        <w:rPr>
          <w:rFonts w:ascii="仿宋" w:hAnsi="仿宋" w:eastAsia="仿宋"/>
          <w:b/>
          <w:bCs/>
          <w:sz w:val="28"/>
          <w:szCs w:val="28"/>
        </w:rPr>
      </w:pPr>
      <w:bookmarkStart w:id="22" w:name="_Toc141278943"/>
      <w:r>
        <w:rPr>
          <w:rFonts w:hint="eastAsia" w:ascii="仿宋" w:hAnsi="仿宋" w:eastAsia="仿宋"/>
          <w:b/>
          <w:bCs/>
          <w:sz w:val="28"/>
          <w:szCs w:val="28"/>
        </w:rPr>
        <w:t>（二）物联感知全面化</w:t>
      </w:r>
      <w:bookmarkEnd w:id="22"/>
    </w:p>
    <w:p>
      <w:pPr>
        <w:keepNext w:val="0"/>
        <w:keepLines w:val="0"/>
        <w:pageBreakBefore w:val="0"/>
        <w:kinsoku/>
        <w:wordWrap/>
        <w:overflowPunct/>
        <w:topLinePunct w:val="0"/>
        <w:autoSpaceDE/>
        <w:autoSpaceDN/>
        <w:bidi w:val="0"/>
        <w:spacing w:beforeAutospacing="0" w:afterAutospacing="0" w:line="560" w:lineRule="exact"/>
        <w:ind w:left="0" w:firstLine="562" w:firstLineChars="200"/>
        <w:textAlignment w:val="auto"/>
        <w:rPr>
          <w:rFonts w:ascii="仿宋" w:hAnsi="仿宋" w:eastAsia="仿宋" w:cs="Times New Roman"/>
          <w:sz w:val="28"/>
          <w:szCs w:val="28"/>
        </w:rPr>
      </w:pPr>
      <w:r>
        <w:rPr>
          <w:rFonts w:hint="eastAsia" w:ascii="仿宋" w:hAnsi="仿宋" w:eastAsia="仿宋" w:cs="Times New Roman"/>
          <w:b/>
          <w:bCs/>
          <w:sz w:val="28"/>
          <w:szCs w:val="28"/>
        </w:rPr>
        <w:t>为智能驱动提供数据支持，为控员指标落实奠定基础</w:t>
      </w:r>
      <w:r>
        <w:rPr>
          <w:rFonts w:hint="eastAsia" w:ascii="仿宋" w:hAnsi="仿宋" w:eastAsia="仿宋" w:cs="Times New Roman"/>
          <w:sz w:val="28"/>
          <w:szCs w:val="28"/>
        </w:rPr>
        <w:t>。</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23" w:name="_Toc141278944"/>
      <w:r>
        <w:rPr>
          <w:rFonts w:hint="eastAsia" w:ascii="仿宋" w:hAnsi="仿宋" w:eastAsia="仿宋"/>
          <w:b/>
          <w:bCs/>
          <w:sz w:val="28"/>
          <w:szCs w:val="28"/>
        </w:rPr>
        <w:t>1、整装数字化建设</w:t>
      </w:r>
      <w:bookmarkEnd w:id="23"/>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作业区整装数字化建设，覆盖8个站、164宗井场、571口油井、9个注水站、77个配水间、157口水井。共安装油井控制柜、载荷传感器、位移传感器597套，接入配水间73个，视频监控410个，路卡40路。实现油水井运行参数全面感知、现场实时监控。</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24" w:name="_Toc141278945"/>
      <w:r>
        <w:rPr>
          <w:rFonts w:ascii="仿宋" w:hAnsi="仿宋" w:eastAsia="仿宋"/>
          <w:b/>
          <w:bCs/>
          <w:sz w:val="28"/>
          <w:szCs w:val="28"/>
        </w:rPr>
        <w:t>2</w:t>
      </w:r>
      <w:r>
        <w:rPr>
          <w:rFonts w:hint="eastAsia" w:ascii="仿宋" w:hAnsi="仿宋" w:eastAsia="仿宋"/>
          <w:b/>
          <w:bCs/>
          <w:sz w:val="28"/>
          <w:szCs w:val="28"/>
        </w:rPr>
        <w:t>、</w:t>
      </w:r>
      <w:bookmarkStart w:id="25" w:name="_Hlk141107064"/>
      <w:r>
        <w:rPr>
          <w:rFonts w:hint="eastAsia" w:ascii="仿宋" w:hAnsi="仿宋" w:eastAsia="仿宋"/>
          <w:b/>
          <w:bCs/>
          <w:sz w:val="28"/>
          <w:szCs w:val="28"/>
        </w:rPr>
        <w:t>生产运行</w:t>
      </w:r>
      <w:bookmarkEnd w:id="25"/>
      <w:r>
        <w:rPr>
          <w:rFonts w:hint="eastAsia" w:ascii="仿宋" w:hAnsi="仿宋" w:eastAsia="仿宋"/>
          <w:b/>
          <w:bCs/>
          <w:sz w:val="28"/>
          <w:szCs w:val="28"/>
        </w:rPr>
        <w:t>物联网平台建设</w:t>
      </w:r>
      <w:bookmarkEnd w:id="24"/>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生产运行物联网平台建设包括：采油井监测、注水井监测、报表管理、告警管理、数据分析及决策、数据共享、监测运维等，实现对油水工况异常及时预警告警、远程智能控制，对物联网设备、网络异常诊断识别，并对异常处置进行监督。</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26" w:name="_Toc141278946"/>
      <w:r>
        <w:rPr>
          <w:rFonts w:ascii="仿宋" w:hAnsi="仿宋" w:eastAsia="仿宋"/>
          <w:b/>
          <w:bCs/>
          <w:sz w:val="28"/>
          <w:szCs w:val="28"/>
        </w:rPr>
        <w:t>3</w:t>
      </w:r>
      <w:r>
        <w:rPr>
          <w:rFonts w:hint="eastAsia" w:ascii="仿宋" w:hAnsi="仿宋" w:eastAsia="仿宋"/>
          <w:b/>
          <w:bCs/>
          <w:sz w:val="28"/>
          <w:szCs w:val="28"/>
        </w:rPr>
        <w:t>、</w:t>
      </w:r>
      <w:bookmarkStart w:id="27" w:name="_Hlk141107950"/>
      <w:r>
        <w:rPr>
          <w:rFonts w:hint="eastAsia" w:ascii="仿宋" w:hAnsi="仿宋" w:eastAsia="仿宋"/>
          <w:b/>
          <w:bCs/>
          <w:sz w:val="28"/>
          <w:szCs w:val="28"/>
        </w:rPr>
        <w:t>物联感知全面化建设</w:t>
      </w:r>
      <w:bookmarkEnd w:id="26"/>
      <w:bookmarkEnd w:id="27"/>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物联感知全面化，一方面将生产运行业务数据化，另一方面可直接实现电子巡检、生产监控，为驻井制向巡井制提供支持，达到优化用工数量、精细化管理、提升管控水平、减少安全问题、降低能耗成本的目的。</w:t>
      </w:r>
    </w:p>
    <w:p>
      <w:pPr>
        <w:pStyle w:val="2"/>
        <w:keepNext w:val="0"/>
        <w:keepLines w:val="0"/>
        <w:pageBreakBefore w:val="0"/>
        <w:kinsoku/>
        <w:wordWrap/>
        <w:overflowPunct/>
        <w:topLinePunct w:val="0"/>
        <w:autoSpaceDE/>
        <w:autoSpaceDN/>
        <w:bidi w:val="0"/>
        <w:spacing w:beforeAutospacing="0" w:afterAutospacing="0" w:line="560" w:lineRule="exact"/>
        <w:ind w:left="0"/>
        <w:jc w:val="center"/>
        <w:textAlignment w:val="auto"/>
        <w:rPr>
          <w:rFonts w:ascii="仿宋" w:hAnsi="仿宋" w:eastAsia="仿宋"/>
          <w:sz w:val="28"/>
          <w:szCs w:val="28"/>
        </w:rPr>
      </w:pPr>
      <w:r>
        <w:rPr>
          <w:rFonts w:hint="eastAsia" w:ascii="仿宋" w:hAnsi="仿宋" w:eastAsia="仿宋"/>
          <w:sz w:val="28"/>
          <w:szCs w:val="28"/>
        </w:rPr>
        <w:drawing>
          <wp:inline distT="0" distB="0" distL="0" distR="0">
            <wp:extent cx="4991100" cy="3529965"/>
            <wp:effectExtent l="19050" t="19050" r="19050" b="13335"/>
            <wp:docPr id="11" name="图片 1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 工程绘图&#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9282" cy="3543278"/>
                    </a:xfrm>
                    <a:prstGeom prst="rect">
                      <a:avLst/>
                    </a:prstGeom>
                    <a:ln>
                      <a:solidFill>
                        <a:schemeClr val="bg2"/>
                      </a:solidFill>
                    </a:ln>
                  </pic:spPr>
                </pic:pic>
              </a:graphicData>
            </a:graphic>
          </wp:inline>
        </w:drawing>
      </w:r>
    </w:p>
    <w:p>
      <w:pPr>
        <w:keepNext w:val="0"/>
        <w:keepLines w:val="0"/>
        <w:pageBreakBefore w:val="0"/>
        <w:kinsoku/>
        <w:wordWrap/>
        <w:overflowPunct/>
        <w:topLinePunct w:val="0"/>
        <w:autoSpaceDE/>
        <w:autoSpaceDN/>
        <w:bidi w:val="0"/>
        <w:spacing w:beforeAutospacing="0" w:afterAutospacing="0" w:line="560" w:lineRule="exact"/>
        <w:ind w:left="0"/>
        <w:jc w:val="center"/>
        <w:textAlignment w:val="auto"/>
        <w:rPr>
          <w:sz w:val="28"/>
          <w:szCs w:val="28"/>
        </w:rPr>
      </w:pPr>
      <w:r>
        <w:rPr>
          <w:rFonts w:hint="eastAsia" w:ascii="仿宋" w:hAnsi="仿宋" w:eastAsia="仿宋" w:cs="仿宋"/>
          <w:b/>
          <w:bCs/>
          <w:sz w:val="28"/>
          <w:szCs w:val="28"/>
        </w:rPr>
        <w:t>图</w:t>
      </w:r>
      <w:r>
        <w:rPr>
          <w:rFonts w:ascii="仿宋" w:hAnsi="仿宋" w:eastAsia="仿宋" w:cs="仿宋"/>
          <w:b/>
          <w:bCs/>
          <w:sz w:val="28"/>
          <w:szCs w:val="28"/>
        </w:rPr>
        <w:t>4</w:t>
      </w:r>
      <w:r>
        <w:rPr>
          <w:rFonts w:hint="eastAsia" w:ascii="仿宋" w:hAnsi="仿宋" w:eastAsia="仿宋" w:cs="仿宋"/>
          <w:b/>
          <w:bCs/>
          <w:sz w:val="28"/>
          <w:szCs w:val="28"/>
        </w:rPr>
        <w:t>薛岔作业区物联感知体系结构示意图</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1"/>
        <w:rPr>
          <w:rFonts w:ascii="仿宋" w:hAnsi="仿宋" w:eastAsia="仿宋"/>
          <w:b/>
          <w:bCs/>
          <w:sz w:val="28"/>
          <w:szCs w:val="28"/>
        </w:rPr>
      </w:pPr>
      <w:bookmarkStart w:id="28" w:name="_Toc141278947"/>
      <w:r>
        <w:rPr>
          <w:rFonts w:hint="eastAsia" w:ascii="仿宋" w:hAnsi="仿宋" w:eastAsia="仿宋"/>
          <w:b/>
          <w:bCs/>
          <w:sz w:val="28"/>
          <w:szCs w:val="28"/>
        </w:rPr>
        <w:t>（三）现场数据采集线上化</w:t>
      </w:r>
      <w:bookmarkEnd w:id="28"/>
    </w:p>
    <w:p>
      <w:pPr>
        <w:pStyle w:val="2"/>
        <w:keepNext w:val="0"/>
        <w:keepLines w:val="0"/>
        <w:pageBreakBefore w:val="0"/>
        <w:kinsoku/>
        <w:wordWrap/>
        <w:overflowPunct/>
        <w:topLinePunct w:val="0"/>
        <w:autoSpaceDE/>
        <w:autoSpaceDN/>
        <w:bidi w:val="0"/>
        <w:spacing w:beforeAutospacing="0" w:afterAutospacing="0" w:line="560" w:lineRule="exact"/>
        <w:ind w:left="0" w:firstLine="562" w:firstLineChars="200"/>
        <w:textAlignment w:val="auto"/>
        <w:rPr>
          <w:rFonts w:ascii="仿宋" w:hAnsi="仿宋" w:eastAsia="仿宋" w:cs="Times New Roman"/>
          <w:sz w:val="28"/>
          <w:szCs w:val="28"/>
        </w:rPr>
      </w:pPr>
      <w:r>
        <w:rPr>
          <w:rFonts w:hint="eastAsia" w:ascii="仿宋" w:hAnsi="仿宋" w:eastAsia="仿宋" w:cs="Times New Roman"/>
          <w:b/>
          <w:bCs/>
          <w:sz w:val="28"/>
          <w:szCs w:val="28"/>
        </w:rPr>
        <w:t>实现与物联网数据采集相互弥补，有效地解决了生产现场管理类业务缺少数字化支撑的问题的数据采集管理</w:t>
      </w:r>
      <w:r>
        <w:rPr>
          <w:rFonts w:hint="eastAsia" w:ascii="仿宋" w:hAnsi="仿宋" w:eastAsia="仿宋" w:cs="Times New Roman"/>
          <w:sz w:val="28"/>
          <w:szCs w:val="28"/>
        </w:rPr>
        <w:t>。实现作业区生产动态全数据采集的线上闭环化、无纸化，包括油井计量、含水化验、产出水水质分析、油井测产、油井动态资料、水井填报的任务生成、任务下发、数据填报、数据审核、任务监管、综合考核，通过数据校验、数据诊断等手段保障数据准确性，通过流程管理落实业务规范与技术规范。</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29" w:name="_Toc141278948"/>
      <w:r>
        <w:rPr>
          <w:rFonts w:hint="eastAsia" w:ascii="仿宋" w:hAnsi="仿宋" w:eastAsia="仿宋"/>
          <w:b/>
          <w:bCs/>
          <w:sz w:val="28"/>
          <w:szCs w:val="28"/>
        </w:rPr>
        <w:t>1、油井计量</w:t>
      </w:r>
      <w:bookmarkEnd w:id="29"/>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流程描述：根据油田公司计量要求，每天晚上系统通过统计当前油井开关井状态，下发计量清单，第二天采油工根据收到的任务，完成数据填报，工作站对平台识别的产量、含水异常进行核实并说明原因，作业区对数据进行审核，对填报情况进行考核。</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优势特点：</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（1）填报工作量低，采油工只录入每日悬空即可自动实现计产，井场平均填报时间2分钟，相比人工计产每个井场每日可节省</w:t>
      </w:r>
      <w:r>
        <w:rPr>
          <w:rFonts w:ascii="仿宋" w:hAnsi="仿宋" w:eastAsia="仿宋" w:cs="Times New Roman"/>
          <w:sz w:val="28"/>
          <w:szCs w:val="28"/>
        </w:rPr>
        <w:t>25</w:t>
      </w:r>
      <w:r>
        <w:rPr>
          <w:rFonts w:hint="eastAsia" w:ascii="仿宋" w:hAnsi="仿宋" w:eastAsia="仿宋" w:cs="Times New Roman"/>
          <w:sz w:val="28"/>
          <w:szCs w:val="28"/>
        </w:rPr>
        <w:t>分钟，特别是在冬季混上的情况，可节省</w:t>
      </w:r>
      <w:r>
        <w:rPr>
          <w:rFonts w:ascii="仿宋" w:hAnsi="仿宋" w:eastAsia="仿宋" w:cs="Times New Roman"/>
          <w:sz w:val="28"/>
          <w:szCs w:val="28"/>
        </w:rPr>
        <w:t>30</w:t>
      </w:r>
      <w:r>
        <w:rPr>
          <w:rFonts w:hint="eastAsia" w:ascii="仿宋" w:hAnsi="仿宋" w:eastAsia="仿宋" w:cs="Times New Roman"/>
          <w:sz w:val="28"/>
          <w:szCs w:val="28"/>
        </w:rPr>
        <w:t>分钟。</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（2）填报准确性高，在数据填报与数据提交过程中通过多次校验、诊断、提醒及辅助审核功能，保障数据准确性。</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3）现场适应力强，适用于单井单罐、单井多罐、多井多罐、集输、集输与进罐混合。软件通过与采油工近1年的磨合，充分考虑现场网络、现场工作环境、日常工作任务以及人员自身素质等因素，提供关键修改信息多次冗余，填报过程多次提醒，降低软件使用难度与填报错误率，并提供便捷的数据驳回、数据修改操作。</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30" w:name="_Toc141278949"/>
      <w:r>
        <w:rPr>
          <w:rFonts w:hint="eastAsia" w:ascii="仿宋" w:hAnsi="仿宋" w:eastAsia="仿宋"/>
          <w:b/>
          <w:bCs/>
          <w:sz w:val="28"/>
          <w:szCs w:val="28"/>
        </w:rPr>
        <w:t>2、含水化验</w:t>
      </w:r>
      <w:bookmarkEnd w:id="30"/>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 xml:space="preserve">流程描述：按照油田公司、采油厂、注水项目部及作业区含水化验相关要求，依据产量范围与含水浮动，配置含水任务生成规则、自动生成并下发任务，采油工按照任务进行化验、工作站与作业区按照标准进行审核、考核。同时使用特殊的标记，优先突出研究所、注水项目部下发的相关任务。主要用于日常化验、加密化验。 </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优势特点：</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（1）含水浮动自动监测，含水任务科学合理。</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（2）自动下发、临时派发与自增任务相结合，并配合灵活的考核机制，适应现场负责多变的工作环境，在保障任务质量的前提下更加人性化。</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31" w:name="_Toc141278950"/>
      <w:r>
        <w:rPr>
          <w:rFonts w:hint="eastAsia" w:ascii="仿宋" w:hAnsi="仿宋" w:eastAsia="仿宋"/>
          <w:b/>
          <w:bCs/>
          <w:sz w:val="28"/>
          <w:szCs w:val="28"/>
        </w:rPr>
        <w:t>3、产出水水质分析</w:t>
      </w:r>
      <w:bookmarkEnd w:id="31"/>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流程描述：依据研究所、注水项目部、作业区产出水水质分析的相关要求，实现周期性任务生成下发与临时任务下发，工作站、采油工按照任务要求进行采样、送样，作业区收样并化验，作业区按照任务完成质量进行考核。主要用于产出水周期性化验、临时化验。</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优势特点：</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（1）在线监管，保障采样质量、采样时效。</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（2）配送过程规范管理，防止样品丢失。</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32" w:name="_Toc141278951"/>
      <w:r>
        <w:rPr>
          <w:rFonts w:hint="eastAsia" w:ascii="仿宋" w:hAnsi="仿宋" w:eastAsia="仿宋"/>
          <w:b/>
          <w:bCs/>
          <w:sz w:val="28"/>
          <w:szCs w:val="28"/>
        </w:rPr>
        <w:t>4、油井测产</w:t>
      </w:r>
      <w:bookmarkEnd w:id="32"/>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流程描述：依据采油厂、作业区相关测产周期要求，自动生成并下发任务，也可根据研究所、注水项目部临时需要派发测产任务，并实现任务完成质量监管与考核。主要用于油井周期性测产、临时测产。</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优势特点：在线监管、严格考核，保障任务完成质量与时效。</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33" w:name="_Toc141278952"/>
      <w:r>
        <w:rPr>
          <w:rFonts w:hint="eastAsia" w:ascii="仿宋" w:hAnsi="仿宋" w:eastAsia="仿宋"/>
          <w:b/>
          <w:bCs/>
          <w:sz w:val="28"/>
          <w:szCs w:val="28"/>
        </w:rPr>
        <w:t>5、油井动态资料收集</w:t>
      </w:r>
      <w:bookmarkEnd w:id="33"/>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流程描述：作为物联网的补充，通过任务管理的方式，电流、功图、动液面测试任务的派发、分配、审核、考核，收集油井动态资料数据。主要用于对未进行物联网建设部分油井或物联网设备、传输网络出现故障需要采集数据时。</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仿宋"/>
          <w:b/>
          <w:bCs/>
          <w:sz w:val="28"/>
          <w:szCs w:val="28"/>
          <w:lang w:eastAsia="zh-Hans"/>
        </w:rPr>
      </w:pPr>
      <w:r>
        <w:rPr>
          <w:rFonts w:hint="eastAsia" w:ascii="仿宋" w:hAnsi="仿宋" w:eastAsia="仿宋" w:cs="Times New Roman"/>
          <w:sz w:val="28"/>
          <w:szCs w:val="28"/>
        </w:rPr>
        <w:t>优势特点：按需测试、合理分配、过程监督考核；测试数据体线上传输，省去设备直接派送。</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34" w:name="_Toc141278953"/>
      <w:r>
        <w:rPr>
          <w:rFonts w:hint="eastAsia" w:ascii="仿宋" w:hAnsi="仿宋" w:eastAsia="仿宋"/>
          <w:b/>
          <w:bCs/>
          <w:sz w:val="28"/>
          <w:szCs w:val="28"/>
        </w:rPr>
        <w:t>6、水井填报</w:t>
      </w:r>
      <w:bookmarkEnd w:id="34"/>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流程描述：按照采油厂、作业区注水日报填报要求及油套压测试要求，通过油套压任务自动生成与下发，确保油套压数据的时效性，通过与水井物联网数据关联，减少数据填报项；通过配注合格率计算与备注信息填报关联、备注用语的标准化，实现填报规范化；通过数据校验、数据诊断、提醒与辅助审核等功能，提高数据填报准确性；通过任务过程监督与考核，保障数据填报的及时性与真实性。</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优势特点：</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（1）填报工作量低，未建物联网的区块只需填报各类压力值与录入当前表头，其他填报项自动计算；已建物联网区只需核对各项数值并确认。</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（2）填报准确性高，在数据填报与数据提交过程中通过多次校验、诊断、提醒及辅助审核功能，保障数据准确性。</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仿宋"/>
          <w:b/>
          <w:bCs/>
          <w:sz w:val="28"/>
          <w:szCs w:val="28"/>
          <w:lang w:eastAsia="zh-Hans"/>
        </w:rPr>
      </w:pPr>
      <w:r>
        <w:rPr>
          <w:rFonts w:hint="eastAsia" w:ascii="仿宋" w:hAnsi="仿宋" w:eastAsia="仿宋" w:cs="Times New Roman"/>
          <w:sz w:val="28"/>
          <w:szCs w:val="28"/>
        </w:rPr>
        <w:t>（3）填报规范、适用性强，工作时间不足、配置合格率不达标均需填写备注，且系统自动给出标准的备注用语，同时为适应现场实际情况，增加了调表等功能。</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1"/>
        <w:rPr>
          <w:rFonts w:ascii="仿宋" w:hAnsi="仿宋" w:eastAsia="仿宋"/>
          <w:b/>
          <w:bCs/>
          <w:sz w:val="28"/>
          <w:szCs w:val="28"/>
          <w:lang w:eastAsia="zh-Hans"/>
        </w:rPr>
      </w:pPr>
      <w:bookmarkStart w:id="35" w:name="_Toc141278954"/>
      <w:r>
        <w:rPr>
          <w:rFonts w:hint="eastAsia" w:ascii="仿宋" w:hAnsi="仿宋" w:eastAsia="仿宋"/>
          <w:b/>
          <w:bCs/>
          <w:sz w:val="28"/>
          <w:szCs w:val="28"/>
        </w:rPr>
        <w:t>（四）动态分析智能化</w:t>
      </w:r>
      <w:bookmarkEnd w:id="35"/>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解决动态分析类业务缺少智能化技术支撑的问题，提高油水井运行时率。在物联网数据与现场数据全面采集的基础上，利用单参数趋势分析模型、功图分析模型、单井动态分析模型，实现对油水井生产运行状况的综合判识，及时发现油水井运行异常，并进行告警推送。</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36" w:name="_Toc141278955"/>
      <w:r>
        <w:rPr>
          <w:rFonts w:hint="eastAsia" w:ascii="仿宋" w:hAnsi="仿宋" w:eastAsia="仿宋"/>
          <w:b/>
          <w:bCs/>
          <w:sz w:val="28"/>
          <w:szCs w:val="28"/>
        </w:rPr>
        <w:t>1、</w:t>
      </w:r>
      <w:bookmarkStart w:id="37" w:name="_Hlk137711864"/>
      <w:r>
        <w:rPr>
          <w:rFonts w:hint="eastAsia" w:ascii="仿宋" w:hAnsi="仿宋" w:eastAsia="仿宋"/>
          <w:b/>
          <w:bCs/>
          <w:sz w:val="28"/>
          <w:szCs w:val="28"/>
        </w:rPr>
        <w:t>单参数趋势分析模型</w:t>
      </w:r>
      <w:bookmarkEnd w:id="36"/>
      <w:bookmarkEnd w:id="37"/>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利用丰富的生产运行数据，针对每一项数据进行单参数分析，利用经典的工业物联网时间序列分析算法，进行异常上升下降趋势识别、超限值识别、极值识别、恒值识别，形成丰富的单参数分析成果数据集，供后续算法模型使用。</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38" w:name="_Toc141278956"/>
      <w:r>
        <w:rPr>
          <w:rFonts w:hint="eastAsia" w:ascii="仿宋" w:hAnsi="仿宋" w:eastAsia="仿宋"/>
          <w:b/>
          <w:bCs/>
          <w:sz w:val="28"/>
          <w:szCs w:val="28"/>
        </w:rPr>
        <w:t>2、功图分析模型</w:t>
      </w:r>
      <w:bookmarkEnd w:id="38"/>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功图是反映油井运行工况的重要数据，使用大数据与人工智能技术，专门针对功图开展分析与应用。（1）功图诊断：基于CNN卷积神经网络算法，在海量功图图片样本库的基础上，构建功图图像自学习诊断模型，实践证明诊断准确率高。（2）功图计产：计算出给定系统在不同地面示功图激励下的泵示功图响应，然后对泵示功图进行分析，确定泵的有效冲程,进而求出油井产液量，其关键点是计算的是抽油泵有效冲程和有效容积，实践证明计产准确率高。基于CNN卷积神经网络构建功图诊断模型，识别准确率达到95%以上，功图计产和人工填报偏差范围在20%以内。</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39" w:name="_Toc141278957"/>
      <w:r>
        <w:rPr>
          <w:rFonts w:hint="eastAsia" w:ascii="仿宋" w:hAnsi="仿宋" w:eastAsia="仿宋"/>
          <w:b/>
          <w:bCs/>
          <w:sz w:val="28"/>
          <w:szCs w:val="28"/>
        </w:rPr>
        <w:t>3、</w:t>
      </w:r>
      <w:bookmarkStart w:id="40" w:name="_Hlk137711937"/>
      <w:r>
        <w:rPr>
          <w:rFonts w:hint="eastAsia" w:ascii="仿宋" w:hAnsi="仿宋" w:eastAsia="仿宋"/>
          <w:b/>
          <w:bCs/>
          <w:sz w:val="28"/>
          <w:szCs w:val="28"/>
        </w:rPr>
        <w:t>单井动态分析模型</w:t>
      </w:r>
      <w:bookmarkEnd w:id="39"/>
      <w:bookmarkEnd w:id="40"/>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仿宋"/>
          <w:b/>
          <w:bCs/>
          <w:sz w:val="28"/>
          <w:szCs w:val="28"/>
        </w:rPr>
      </w:pPr>
      <w:r>
        <w:rPr>
          <w:rFonts w:hint="eastAsia" w:ascii="仿宋" w:hAnsi="仿宋" w:eastAsia="仿宋" w:cs="Times New Roman"/>
          <w:sz w:val="28"/>
          <w:szCs w:val="28"/>
        </w:rPr>
        <w:t>在单参数趋势模型和功图分析模型的基础上，将各种单参数趋势分析结果和功图分析结果进行组合使用、综合判断，以工况异常分析、设备异常分析、产量异常分析、误产归因分析为层次，以新井分析、老井分析、措施井分析为维度、以日分析、旬分析、月分析为尺度，形成系统化的单井动态分析模型。将当前异常和长期趋势同时加以判断，给出当前问题告警和后续问题预警，多层次、多维度、多尺度分析，满足各种实际业务需要。</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41" w:name="_Toc141278958"/>
      <w:r>
        <w:rPr>
          <w:rFonts w:ascii="仿宋" w:hAnsi="仿宋" w:eastAsia="仿宋"/>
          <w:b/>
          <w:bCs/>
          <w:sz w:val="28"/>
          <w:szCs w:val="28"/>
        </w:rPr>
        <w:t>4</w:t>
      </w:r>
      <w:r>
        <w:rPr>
          <w:rFonts w:hint="eastAsia" w:ascii="仿宋" w:hAnsi="仿宋" w:eastAsia="仿宋"/>
          <w:b/>
          <w:bCs/>
          <w:sz w:val="28"/>
          <w:szCs w:val="28"/>
        </w:rPr>
        <w:t>、智能巡井及异常推送</w:t>
      </w:r>
      <w:bookmarkEnd w:id="41"/>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利用以上模型的计算结果，实现对油水井工况、设备、产量与注量的轮巡，并按照规则推送异常告警。</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1"/>
        <w:rPr>
          <w:rFonts w:ascii="仿宋" w:hAnsi="仿宋" w:eastAsia="仿宋"/>
          <w:b/>
          <w:bCs/>
          <w:sz w:val="28"/>
          <w:szCs w:val="28"/>
        </w:rPr>
      </w:pPr>
      <w:bookmarkStart w:id="42" w:name="_Toc141278959"/>
      <w:r>
        <w:rPr>
          <w:rFonts w:hint="eastAsia" w:ascii="仿宋" w:hAnsi="仿宋" w:eastAsia="仿宋"/>
          <w:b/>
          <w:bCs/>
          <w:sz w:val="28"/>
          <w:szCs w:val="28"/>
        </w:rPr>
        <w:t>（五）协同管理平台化</w:t>
      </w:r>
      <w:bookmarkEnd w:id="42"/>
    </w:p>
    <w:p>
      <w:pPr>
        <w:pStyle w:val="2"/>
        <w:keepNext w:val="0"/>
        <w:keepLines w:val="0"/>
        <w:pageBreakBefore w:val="0"/>
        <w:kinsoku/>
        <w:wordWrap/>
        <w:overflowPunct/>
        <w:topLinePunct w:val="0"/>
        <w:autoSpaceDE/>
        <w:autoSpaceDN/>
        <w:bidi w:val="0"/>
        <w:spacing w:beforeAutospacing="0" w:afterAutospacing="0" w:line="560" w:lineRule="exact"/>
        <w:ind w:left="0" w:firstLine="562" w:firstLineChars="200"/>
        <w:textAlignment w:val="auto"/>
        <w:rPr>
          <w:rFonts w:ascii="仿宋" w:hAnsi="仿宋" w:eastAsia="仿宋" w:cs="Times New Roman"/>
          <w:sz w:val="28"/>
          <w:szCs w:val="28"/>
        </w:rPr>
      </w:pPr>
      <w:r>
        <w:rPr>
          <w:rFonts w:hint="eastAsia" w:ascii="仿宋" w:hAnsi="仿宋" w:eastAsia="仿宋" w:cs="Times New Roman"/>
          <w:b/>
          <w:bCs/>
          <w:sz w:val="28"/>
          <w:szCs w:val="28"/>
        </w:rPr>
        <w:t>解决业务协同管理类业务缺少平台化支撑的问题，大幅提升管理水平、降低安环风险</w:t>
      </w:r>
      <w:r>
        <w:rPr>
          <w:rFonts w:hint="eastAsia" w:ascii="仿宋" w:hAnsi="仿宋" w:eastAsia="仿宋" w:cs="Times New Roman"/>
          <w:sz w:val="28"/>
          <w:szCs w:val="28"/>
        </w:rPr>
        <w:t>。一方面在动态分析智能化基础上，对已识别的异常进行按照既定的流程进行处理；另一方面，实现安环问题整改、日常运维等任务进行线上监管。</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43" w:name="_Toc113461448"/>
      <w:bookmarkStart w:id="44" w:name="_Toc141278960"/>
      <w:r>
        <w:rPr>
          <w:rFonts w:ascii="仿宋" w:hAnsi="仿宋" w:eastAsia="仿宋"/>
          <w:b/>
          <w:bCs/>
          <w:sz w:val="28"/>
          <w:szCs w:val="28"/>
        </w:rPr>
        <w:t>1</w:t>
      </w:r>
      <w:r>
        <w:rPr>
          <w:rFonts w:hint="eastAsia" w:ascii="仿宋" w:hAnsi="仿宋" w:eastAsia="仿宋"/>
          <w:b/>
          <w:bCs/>
          <w:sz w:val="28"/>
          <w:szCs w:val="28"/>
        </w:rPr>
        <w:t>、安环管理</w:t>
      </w:r>
      <w:bookmarkEnd w:id="43"/>
      <w:bookmarkEnd w:id="44"/>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通过隐患随手拍，实现安全环保问题和隐患上报→核实→整改→确认→审核→资料归档→结果反馈的全流程管理，主要功能包括作业区督查、分派、过程监督、审核、考核，工作站自查、分配、过程监督、验收、审核、考核，采油工自查、上报、整改等，并实现问题、隐患整改过程存档。适用于安全环保问题和隐患的督查整改，工作自查整改，采油工自查、互查整改，建立安环管理线上协同模式，提升安环管控能力。</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45" w:name="_Toc141278961"/>
      <w:bookmarkStart w:id="46" w:name="_Toc113461449"/>
      <w:r>
        <w:rPr>
          <w:rFonts w:ascii="仿宋" w:hAnsi="仿宋" w:eastAsia="仿宋"/>
          <w:b/>
          <w:bCs/>
          <w:sz w:val="28"/>
          <w:szCs w:val="28"/>
        </w:rPr>
        <w:t>2</w:t>
      </w:r>
      <w:r>
        <w:rPr>
          <w:rFonts w:hint="eastAsia" w:ascii="仿宋" w:hAnsi="仿宋" w:eastAsia="仿宋"/>
          <w:b/>
          <w:bCs/>
          <w:sz w:val="28"/>
          <w:szCs w:val="28"/>
        </w:rPr>
        <w:t>、设备管理</w:t>
      </w:r>
      <w:bookmarkEnd w:id="45"/>
      <w:bookmarkEnd w:id="46"/>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实现设备材料登记、设备维修、材料申报等全流程的设备维修线上管理。</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 xml:space="preserve">一方面，对自动识别或人工上报的设备异常信息进行快速处置，包括设备信息登记、维修上报、确认、核实，任务派单、过程监督、验收考评规范管理，缩短设备异常处置时间，提高设备的利用率，降低生产成本，提高油水井的生产时率。 </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仿宋"/>
          <w:b/>
          <w:bCs/>
          <w:sz w:val="28"/>
          <w:szCs w:val="28"/>
        </w:rPr>
      </w:pPr>
      <w:r>
        <w:rPr>
          <w:rFonts w:hint="eastAsia" w:ascii="仿宋" w:hAnsi="仿宋" w:eastAsia="仿宋" w:cs="Times New Roman"/>
          <w:sz w:val="28"/>
          <w:szCs w:val="28"/>
        </w:rPr>
        <w:t>另一方面，通过对库存与在用设备材料的登记管理，实现闲置设备的快速调配，降低设备材料成本，节省设备材料向上申报的时间；同时通过对材料损坏分析，合理配置库存，降低无效损耗。</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47" w:name="_Toc113461450"/>
      <w:bookmarkStart w:id="48" w:name="_Toc141278962"/>
      <w:r>
        <w:rPr>
          <w:rFonts w:ascii="仿宋" w:hAnsi="仿宋" w:eastAsia="仿宋"/>
          <w:b/>
          <w:bCs/>
          <w:sz w:val="28"/>
          <w:szCs w:val="28"/>
        </w:rPr>
        <w:t>3</w:t>
      </w:r>
      <w:r>
        <w:rPr>
          <w:rFonts w:hint="eastAsia" w:ascii="仿宋" w:hAnsi="仿宋" w:eastAsia="仿宋"/>
          <w:b/>
          <w:bCs/>
          <w:sz w:val="28"/>
          <w:szCs w:val="28"/>
        </w:rPr>
        <w:t>、巡检管理</w:t>
      </w:r>
      <w:bookmarkEnd w:id="47"/>
      <w:bookmarkEnd w:id="48"/>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建立巡检管理的全流程线上管理包括输油管线、注水管线及井场巡检，主要功能包括巡检路线、巡检点、巡检内容、巡检要求、巡检耗时的配置，巡检任务生成、下发，巡检过程监督、巡检结果评价、巡检考核。通过卡时间，圈坐标，实现巡井及输油（注水）管线巡检过程闭环管理，从任务生成、下发，过程监督、结果评价、考核等方面着手，提高效率，规范流程，减轻现场人员劳动强度。</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49" w:name="_Toc141278963"/>
      <w:bookmarkStart w:id="50" w:name="_Toc113461452"/>
      <w:r>
        <w:rPr>
          <w:rFonts w:ascii="仿宋" w:hAnsi="仿宋" w:eastAsia="仿宋"/>
          <w:b/>
          <w:bCs/>
          <w:sz w:val="28"/>
          <w:szCs w:val="28"/>
        </w:rPr>
        <w:t>4</w:t>
      </w:r>
      <w:r>
        <w:rPr>
          <w:rFonts w:hint="eastAsia" w:ascii="仿宋" w:hAnsi="仿宋" w:eastAsia="仿宋"/>
          <w:b/>
          <w:bCs/>
          <w:sz w:val="28"/>
          <w:szCs w:val="28"/>
        </w:rPr>
        <w:t>、维护保养</w:t>
      </w:r>
      <w:bookmarkEnd w:id="49"/>
      <w:bookmarkEnd w:id="50"/>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建立维护保养的全流程线上管理，运用九个关联步骤，落实“十字保养法”。实现设备状况大数据分析自动诊断派单，保养过程实时监管，设备保养精准维护；改变传统设备定期保养工作模式。确保设备维护保养到位，实现用好，管好，提高设备的利用率。</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51" w:name="_Toc141278964"/>
      <w:r>
        <w:rPr>
          <w:rFonts w:ascii="仿宋" w:hAnsi="仿宋" w:eastAsia="仿宋"/>
          <w:b/>
          <w:bCs/>
          <w:sz w:val="28"/>
          <w:szCs w:val="28"/>
        </w:rPr>
        <w:t>5</w:t>
      </w:r>
      <w:r>
        <w:rPr>
          <w:rFonts w:hint="eastAsia" w:ascii="仿宋" w:hAnsi="仿宋" w:eastAsia="仿宋"/>
          <w:b/>
          <w:bCs/>
          <w:sz w:val="28"/>
          <w:szCs w:val="28"/>
        </w:rPr>
        <w:t>、车辆管理</w:t>
      </w:r>
      <w:bookmarkEnd w:id="51"/>
    </w:p>
    <w:p>
      <w:pPr>
        <w:pStyle w:val="2"/>
        <w:keepNext w:val="0"/>
        <w:keepLines w:val="0"/>
        <w:pageBreakBefore w:val="0"/>
        <w:kinsoku/>
        <w:wordWrap/>
        <w:overflowPunct/>
        <w:topLinePunct w:val="0"/>
        <w:autoSpaceDE/>
        <w:autoSpaceDN/>
        <w:bidi w:val="0"/>
        <w:adjustRightInd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通过对作业区职工车辆、公用车辆、作业区车辆、临时车辆进行登记，结合路卡视频监控系统，及时对异常车辆、无牌车辆进行识别告警、路线分析、跟踪管控，防止偷盗原油、生产物资及设备等事件发生。</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52" w:name="_Toc141278965"/>
      <w:r>
        <w:rPr>
          <w:rFonts w:ascii="仿宋" w:hAnsi="仿宋" w:eastAsia="仿宋"/>
          <w:b/>
          <w:bCs/>
          <w:sz w:val="28"/>
          <w:szCs w:val="28"/>
        </w:rPr>
        <w:t>6</w:t>
      </w:r>
      <w:r>
        <w:rPr>
          <w:rFonts w:hint="eastAsia" w:ascii="仿宋" w:hAnsi="仿宋" w:eastAsia="仿宋"/>
          <w:b/>
          <w:bCs/>
          <w:sz w:val="28"/>
          <w:szCs w:val="28"/>
        </w:rPr>
        <w:t>、劳动竞赛</w:t>
      </w:r>
      <w:bookmarkEnd w:id="52"/>
    </w:p>
    <w:p>
      <w:pPr>
        <w:pStyle w:val="2"/>
        <w:keepNext w:val="0"/>
        <w:keepLines w:val="0"/>
        <w:pageBreakBefore w:val="0"/>
        <w:kinsoku/>
        <w:wordWrap/>
        <w:overflowPunct/>
        <w:topLinePunct w:val="0"/>
        <w:autoSpaceDE/>
        <w:autoSpaceDN/>
        <w:bidi w:val="0"/>
        <w:adjustRightInd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为保障原油生产任务，狠抓黄金季节，快速提高产能，通过配置阶段性生产目标，利用统计分析及时发现生产运行管理中存在的问题，提升管理效率。</w:t>
      </w:r>
    </w:p>
    <w:p>
      <w:pPr>
        <w:pStyle w:val="2"/>
        <w:keepNext w:val="0"/>
        <w:keepLines w:val="0"/>
        <w:pageBreakBefore w:val="0"/>
        <w:kinsoku/>
        <w:wordWrap/>
        <w:overflowPunct/>
        <w:topLinePunct w:val="0"/>
        <w:autoSpaceDE/>
        <w:autoSpaceDN/>
        <w:bidi w:val="0"/>
        <w:adjustRightInd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主要内容包括原油产量任务监测、原油交售任务监测、产量构成分析、技术改造任务监测、原油选调任务监测、油田注水任务监测。</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1"/>
        <w:rPr>
          <w:rFonts w:ascii="仿宋" w:hAnsi="仿宋" w:eastAsia="仿宋"/>
          <w:b/>
          <w:bCs/>
          <w:sz w:val="28"/>
          <w:szCs w:val="28"/>
        </w:rPr>
      </w:pPr>
      <w:bookmarkStart w:id="53" w:name="_Toc141278966"/>
      <w:r>
        <w:rPr>
          <w:rFonts w:hint="eastAsia" w:ascii="仿宋" w:hAnsi="仿宋" w:eastAsia="仿宋"/>
          <w:b/>
          <w:bCs/>
          <w:sz w:val="28"/>
          <w:szCs w:val="28"/>
        </w:rPr>
        <w:t>（六）新型管理体系的构建</w:t>
      </w:r>
      <w:bookmarkEnd w:id="53"/>
    </w:p>
    <w:p>
      <w:pPr>
        <w:pStyle w:val="2"/>
        <w:keepNext w:val="0"/>
        <w:keepLines w:val="0"/>
        <w:pageBreakBefore w:val="0"/>
        <w:kinsoku/>
        <w:wordWrap/>
        <w:overflowPunct/>
        <w:topLinePunct w:val="0"/>
        <w:autoSpaceDE/>
        <w:autoSpaceDN/>
        <w:bidi w:val="0"/>
        <w:adjustRightInd w:val="0"/>
        <w:spacing w:beforeAutospacing="0" w:afterAutospacing="0" w:line="560" w:lineRule="exact"/>
        <w:ind w:left="0" w:firstLine="562" w:firstLineChars="200"/>
        <w:textAlignment w:val="auto"/>
        <w:rPr>
          <w:rFonts w:ascii="仿宋" w:hAnsi="仿宋" w:eastAsia="仿宋" w:cs="Times New Roman"/>
          <w:sz w:val="28"/>
          <w:szCs w:val="28"/>
        </w:rPr>
      </w:pPr>
      <w:r>
        <w:rPr>
          <w:rFonts w:hint="eastAsia" w:ascii="仿宋" w:hAnsi="仿宋" w:eastAsia="仿宋" w:cs="Times New Roman"/>
          <w:b/>
          <w:bCs/>
          <w:sz w:val="28"/>
          <w:szCs w:val="28"/>
        </w:rPr>
        <w:t>构筑保障机制，解决数字化技术与业务融合问题，发挥数字化长期效用。</w:t>
      </w:r>
      <w:r>
        <w:rPr>
          <w:rFonts w:hint="eastAsia" w:ascii="仿宋" w:hAnsi="仿宋" w:eastAsia="仿宋" w:cs="Times New Roman"/>
          <w:sz w:val="28"/>
          <w:szCs w:val="28"/>
        </w:rPr>
        <w:t>通过岗位再造、人才培训、任务考核、运维保障、管理模式转变，确保数字化转型的顺利实施，并发挥长期效用。</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54" w:name="_Toc113461454"/>
      <w:bookmarkStart w:id="55" w:name="_Toc141278967"/>
      <w:r>
        <w:rPr>
          <w:rFonts w:ascii="仿宋" w:hAnsi="仿宋" w:eastAsia="仿宋"/>
          <w:b/>
          <w:bCs/>
          <w:sz w:val="28"/>
          <w:szCs w:val="28"/>
        </w:rPr>
        <w:t>1</w:t>
      </w:r>
      <w:r>
        <w:rPr>
          <w:rFonts w:hint="eastAsia" w:ascii="仿宋" w:hAnsi="仿宋" w:eastAsia="仿宋"/>
          <w:b/>
          <w:bCs/>
          <w:sz w:val="28"/>
          <w:szCs w:val="28"/>
        </w:rPr>
        <w:t>、岗位再造</w:t>
      </w:r>
      <w:bookmarkEnd w:id="54"/>
      <w:bookmarkEnd w:id="55"/>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为匹配数字化转型发展，实现智能化协同管理，结合软件平台功能，业务流程的各节点，作业区取消原有岗位，再造岗位1</w:t>
      </w:r>
      <w:r>
        <w:rPr>
          <w:rFonts w:ascii="仿宋" w:hAnsi="仿宋" w:eastAsia="仿宋" w:cs="Times New Roman"/>
          <w:sz w:val="28"/>
          <w:szCs w:val="28"/>
        </w:rPr>
        <w:t>7</w:t>
      </w:r>
      <w:r>
        <w:rPr>
          <w:rFonts w:hint="eastAsia" w:ascii="仿宋" w:hAnsi="仿宋" w:eastAsia="仿宋" w:cs="Times New Roman"/>
          <w:sz w:val="28"/>
          <w:szCs w:val="28"/>
        </w:rPr>
        <w:t>个。</w:t>
      </w:r>
    </w:p>
    <w:p>
      <w:pPr>
        <w:pStyle w:val="2"/>
        <w:keepNext w:val="0"/>
        <w:keepLines w:val="0"/>
        <w:pageBreakBefore w:val="0"/>
        <w:kinsoku/>
        <w:wordWrap/>
        <w:overflowPunct/>
        <w:topLinePunct w:val="0"/>
        <w:autoSpaceDE/>
        <w:autoSpaceDN/>
        <w:bidi w:val="0"/>
        <w:adjustRightInd w:val="0"/>
        <w:spacing w:beforeAutospacing="0" w:afterAutospacing="0" w:line="560" w:lineRule="exact"/>
        <w:ind w:left="0" w:firstLine="560" w:firstLineChars="200"/>
        <w:jc w:val="both"/>
        <w:textAlignment w:val="auto"/>
        <w:rPr>
          <w:rFonts w:ascii="仿宋" w:hAnsi="仿宋" w:eastAsia="仿宋" w:cs="Times New Roman"/>
          <w:sz w:val="28"/>
          <w:szCs w:val="28"/>
        </w:rPr>
      </w:pPr>
      <w:r>
        <w:rPr>
          <w:rFonts w:hint="eastAsia" w:ascii="仿宋" w:hAnsi="仿宋" w:eastAsia="仿宋" w:cs="Times New Roman"/>
          <w:sz w:val="28"/>
          <w:szCs w:val="28"/>
        </w:rPr>
        <w:t>作业区领导岗：负责作业区各项任务的督查、监督考核指标的制定。</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作业区信息岗：负责油井计量工作的监督、审核、考核。</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作业区油井计量岗：负责含水化验、油井测产任务生产规则制定及任务的核实、下发、过程监督、审核、考核。</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作业区油井管理岗：负责动态资料收集任务的下发、监督、审核、考核。</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作业区化验岗：负责产出水水质分析化验任务的下发、收样、监督、考核。</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作业区注水管理岗：负责注水井数据填报工作的监督、审核、考核；负责油套压测试任务的规则制定，任务下发、审核、考核。</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作业区设备管理岗：负责设备库存管理，设备异常核实，设备维修管理任务派发、过程监督、审核、考核。</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作业区物联网设备管理岗：负责物联网设备健康管理，设备新增、维修、拆除的审批与实施过程监督。</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作业区维护保养管理岗：负责维护保养任务周期制定，维护保养任务下发、过程监督、审核、考核。</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作业区安环管理岗：负责安全环保问题的督查、核实、派发、过程监督。</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作业区安环监督岗：负责安环问题的督查、核实、派发、过程监督、审核。</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作业区巡检管理岗：负责作业区各类巡检路线的制定，巡检过程的监督、巡检结果的评价与考核。</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工作站管理岗：由工作站站长与副站长组成，负责作业区动态资料收集任务、安环整改任务、设备维修任务的分配；负责安环问题的督查、验收；数据填报收集工作的监督。</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工作站信息岗：负责油井计量、含水化验数据的审核、督促。</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注水站管理岗：负责注水数据填报的审核、督促。</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采油工：负责各类数据填报；安环、设备、维护保养问题的上报，安环问题整改、设备维修、维护保养等。</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巡检员：负责井场、输油管线、注水管线的巡检。</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56" w:name="_Toc141278968"/>
      <w:bookmarkStart w:id="57" w:name="_Toc113461455"/>
      <w:r>
        <w:rPr>
          <w:rFonts w:ascii="仿宋" w:hAnsi="仿宋" w:eastAsia="仿宋"/>
          <w:b/>
          <w:bCs/>
          <w:sz w:val="28"/>
          <w:szCs w:val="28"/>
        </w:rPr>
        <w:t>2</w:t>
      </w:r>
      <w:r>
        <w:rPr>
          <w:rFonts w:hint="eastAsia" w:ascii="仿宋" w:hAnsi="仿宋" w:eastAsia="仿宋"/>
          <w:b/>
          <w:bCs/>
          <w:sz w:val="28"/>
          <w:szCs w:val="28"/>
        </w:rPr>
        <w:t>、人才培训</w:t>
      </w:r>
      <w:bookmarkEnd w:id="56"/>
      <w:bookmarkEnd w:id="57"/>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为落实软硬件各功能的实施及管理制度的执行，提高作业区整体数字化素养，共组织线下培训31场，累计参训1</w:t>
      </w:r>
      <w:r>
        <w:rPr>
          <w:rFonts w:ascii="仿宋" w:hAnsi="仿宋" w:eastAsia="仿宋" w:cs="Times New Roman"/>
          <w:sz w:val="28"/>
          <w:szCs w:val="28"/>
        </w:rPr>
        <w:t>500</w:t>
      </w:r>
      <w:r>
        <w:rPr>
          <w:rFonts w:hint="eastAsia" w:ascii="仿宋" w:hAnsi="仿宋" w:eastAsia="仿宋" w:cs="Times New Roman"/>
          <w:sz w:val="28"/>
          <w:szCs w:val="28"/>
        </w:rPr>
        <w:t>多人次，并多次针对信息化接受能力较差的员工组织一对一的线上与线下辅导。</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专业技术人才培训：通过定期组织交流学习的培训方式，一方面提高专业素养，另一方面提高技术人才利用软件完成工作的能力，提高其工作效率。</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管理岗人员培训：采用分岗多期培训的方式，针对其管理的业务，结合软件平台，培训软件操作能力，使用能力。</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采油工培训：原则上按照每上线一个功能集中或分工作站培训一轮，提高采油工整体数字化素质以及软硬件使用的熟练度。</w:t>
      </w:r>
    </w:p>
    <w:p>
      <w:pPr>
        <w:pStyle w:val="2"/>
        <w:keepNext w:val="0"/>
        <w:keepLines w:val="0"/>
        <w:pageBreakBefore w:val="0"/>
        <w:kinsoku/>
        <w:wordWrap/>
        <w:overflowPunct/>
        <w:topLinePunct w:val="0"/>
        <w:autoSpaceDE/>
        <w:autoSpaceDN/>
        <w:bidi w:val="0"/>
        <w:spacing w:beforeAutospacing="0" w:afterAutospacing="0" w:line="560" w:lineRule="exact"/>
        <w:ind w:left="0"/>
        <w:jc w:val="center"/>
        <w:textAlignment w:val="auto"/>
        <w:rPr>
          <w:rFonts w:ascii="仿宋" w:hAnsi="仿宋" w:eastAsia="仿宋" w:cs="Times New Roman"/>
          <w:sz w:val="28"/>
          <w:szCs w:val="28"/>
        </w:rPr>
      </w:pPr>
      <w:r>
        <w:rPr>
          <w:b/>
          <w:bCs/>
          <w:sz w:val="28"/>
          <w:szCs w:val="28"/>
        </w:rPr>
        <w:drawing>
          <wp:inline distT="0" distB="0" distL="0" distR="0">
            <wp:extent cx="5255895" cy="2734945"/>
            <wp:effectExtent l="19050" t="19050" r="20955" b="273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56000" cy="2735471"/>
                    </a:xfrm>
                    <a:prstGeom prst="rect">
                      <a:avLst/>
                    </a:prstGeom>
                    <a:noFill/>
                    <a:ln>
                      <a:solidFill>
                        <a:schemeClr val="accent1"/>
                      </a:solidFill>
                    </a:ln>
                  </pic:spPr>
                </pic:pic>
              </a:graphicData>
            </a:graphic>
          </wp:inline>
        </w:drawing>
      </w:r>
    </w:p>
    <w:p>
      <w:pPr>
        <w:keepNext w:val="0"/>
        <w:keepLines w:val="0"/>
        <w:pageBreakBefore w:val="0"/>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b/>
          <w:bCs/>
          <w:sz w:val="28"/>
          <w:szCs w:val="28"/>
        </w:rPr>
      </w:pPr>
      <w:r>
        <w:rPr>
          <w:rFonts w:hint="eastAsia" w:ascii="仿宋" w:hAnsi="仿宋" w:eastAsia="仿宋" w:cs="仿宋"/>
          <w:b/>
          <w:bCs/>
          <w:sz w:val="28"/>
          <w:szCs w:val="28"/>
        </w:rPr>
        <w:t>图</w:t>
      </w:r>
      <w:r>
        <w:rPr>
          <w:rFonts w:ascii="仿宋" w:hAnsi="仿宋" w:eastAsia="仿宋" w:cs="仿宋"/>
          <w:b/>
          <w:bCs/>
          <w:sz w:val="28"/>
          <w:szCs w:val="28"/>
        </w:rPr>
        <w:t>5</w:t>
      </w:r>
      <w:r>
        <w:rPr>
          <w:rFonts w:hint="eastAsia" w:ascii="仿宋" w:hAnsi="仿宋" w:eastAsia="仿宋" w:cs="仿宋"/>
          <w:b/>
          <w:bCs/>
          <w:sz w:val="28"/>
          <w:szCs w:val="28"/>
        </w:rPr>
        <w:t xml:space="preserve"> 人才培训现场图</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58" w:name="_Toc141278969"/>
      <w:r>
        <w:rPr>
          <w:rFonts w:ascii="仿宋" w:hAnsi="仿宋" w:eastAsia="仿宋"/>
          <w:b/>
          <w:bCs/>
          <w:sz w:val="28"/>
          <w:szCs w:val="28"/>
        </w:rPr>
        <w:t>3</w:t>
      </w:r>
      <w:r>
        <w:rPr>
          <w:rFonts w:hint="eastAsia" w:ascii="仿宋" w:hAnsi="仿宋" w:eastAsia="仿宋"/>
          <w:b/>
          <w:bCs/>
          <w:sz w:val="28"/>
          <w:szCs w:val="28"/>
        </w:rPr>
        <w:t>、任务考核</w:t>
      </w:r>
      <w:bookmarkEnd w:id="58"/>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形成任务分配模式，每天下午按照业务规则自动生成或手动添加第二天的油井计量、水井填报、含水化验、水质分析、动态资料收集等日常任务，工作站、采油工按任务逐一完成，对无故未完成的工作站、采油工扣取绩效得分。</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加强任务监管，对日常任务、临时任务、安环整改任务等实行过程监管，作业区领导班子通过智能薛岔APP查看各项任务完成进度，对不执行或延误情况进行通报批评。</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59" w:name="_Toc141278970"/>
      <w:r>
        <w:rPr>
          <w:rFonts w:ascii="仿宋" w:hAnsi="仿宋" w:eastAsia="仿宋"/>
          <w:b/>
          <w:bCs/>
          <w:sz w:val="28"/>
          <w:szCs w:val="28"/>
        </w:rPr>
        <w:t>4</w:t>
      </w:r>
      <w:r>
        <w:rPr>
          <w:rFonts w:hint="eastAsia" w:ascii="仿宋" w:hAnsi="仿宋" w:eastAsia="仿宋"/>
          <w:b/>
          <w:bCs/>
          <w:sz w:val="28"/>
          <w:szCs w:val="28"/>
        </w:rPr>
        <w:t>、运维保障</w:t>
      </w:r>
      <w:bookmarkEnd w:id="59"/>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强化设备运维管理，严格落实物联网设备管理责任制，形成井场用电规范、物联网设备运维规范，有效避免在作业过程中对设备造成损毁，并与厂商建立运维保障机制，确保设备的在线率。</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firstLine="562" w:firstLineChars="200"/>
        <w:textAlignment w:val="auto"/>
        <w:outlineLvl w:val="2"/>
        <w:rPr>
          <w:rFonts w:ascii="仿宋" w:hAnsi="仿宋" w:eastAsia="仿宋"/>
          <w:b/>
          <w:bCs/>
          <w:sz w:val="28"/>
          <w:szCs w:val="28"/>
        </w:rPr>
      </w:pPr>
      <w:bookmarkStart w:id="60" w:name="_Toc113461456"/>
      <w:bookmarkStart w:id="61" w:name="_Toc141278971"/>
      <w:r>
        <w:rPr>
          <w:rFonts w:ascii="仿宋" w:hAnsi="仿宋" w:eastAsia="仿宋"/>
          <w:b/>
          <w:bCs/>
          <w:sz w:val="28"/>
          <w:szCs w:val="28"/>
        </w:rPr>
        <w:t>5</w:t>
      </w:r>
      <w:r>
        <w:rPr>
          <w:rFonts w:hint="eastAsia" w:ascii="仿宋" w:hAnsi="仿宋" w:eastAsia="仿宋"/>
          <w:b/>
          <w:bCs/>
          <w:sz w:val="28"/>
          <w:szCs w:val="28"/>
        </w:rPr>
        <w:t>、管理模式</w:t>
      </w:r>
      <w:bookmarkEnd w:id="60"/>
      <w:bookmarkEnd w:id="61"/>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通过近2年的运行摸索，基本上形成了一套适合采油作业区数字化运行管理模式，即以作业区生产指挥调度中心为核心大脑，以工作站与联合站为重要调度与管理节点，采油工注采为任务执行与任务反馈终端，详情如下：</w:t>
      </w:r>
    </w:p>
    <w:p>
      <w:pPr>
        <w:pStyle w:val="2"/>
        <w:keepNext w:val="0"/>
        <w:keepLines w:val="0"/>
        <w:pageBreakBefore w:val="0"/>
        <w:kinsoku/>
        <w:wordWrap/>
        <w:overflowPunct/>
        <w:topLinePunct w:val="0"/>
        <w:autoSpaceDE/>
        <w:autoSpaceDN/>
        <w:bidi w:val="0"/>
        <w:spacing w:beforeAutospacing="0" w:afterAutospacing="0" w:line="560" w:lineRule="exact"/>
        <w:ind w:left="0" w:firstLine="562" w:firstLineChars="200"/>
        <w:textAlignment w:val="auto"/>
        <w:rPr>
          <w:rFonts w:ascii="仿宋" w:hAnsi="仿宋" w:eastAsia="仿宋" w:cs="Times New Roman"/>
          <w:sz w:val="28"/>
          <w:szCs w:val="28"/>
        </w:rPr>
      </w:pPr>
      <w:r>
        <w:rPr>
          <w:rFonts w:hint="eastAsia" w:ascii="仿宋" w:hAnsi="仿宋" w:eastAsia="仿宋" w:cs="Times New Roman"/>
          <w:b/>
          <w:bCs/>
          <w:sz w:val="28"/>
          <w:szCs w:val="28"/>
        </w:rPr>
        <w:t>作业区生产指挥调度中心，</w:t>
      </w:r>
      <w:r>
        <w:rPr>
          <w:rFonts w:hint="eastAsia" w:ascii="仿宋" w:hAnsi="仿宋" w:eastAsia="仿宋" w:cs="Times New Roman"/>
          <w:sz w:val="28"/>
          <w:szCs w:val="28"/>
        </w:rPr>
        <w:t>负责技术支持、统筹管理与综合考核，通过综合管理平台掌握各项生产指标的运行情况，发出异常井处置、安环整改、原油拉运、巡井巡线、设备保养、数据采集等生产运行指令。</w:t>
      </w:r>
    </w:p>
    <w:p>
      <w:pPr>
        <w:pStyle w:val="2"/>
        <w:keepNext w:val="0"/>
        <w:keepLines w:val="0"/>
        <w:pageBreakBefore w:val="0"/>
        <w:kinsoku/>
        <w:wordWrap/>
        <w:overflowPunct/>
        <w:topLinePunct w:val="0"/>
        <w:autoSpaceDE/>
        <w:autoSpaceDN/>
        <w:bidi w:val="0"/>
        <w:spacing w:beforeAutospacing="0" w:afterAutospacing="0" w:line="560" w:lineRule="exact"/>
        <w:ind w:left="0" w:firstLine="562" w:firstLineChars="200"/>
        <w:textAlignment w:val="auto"/>
        <w:rPr>
          <w:rFonts w:ascii="仿宋" w:hAnsi="仿宋" w:eastAsia="仿宋" w:cs="Times New Roman"/>
          <w:sz w:val="28"/>
          <w:szCs w:val="28"/>
        </w:rPr>
      </w:pPr>
      <w:r>
        <w:rPr>
          <w:rFonts w:hint="eastAsia" w:ascii="仿宋" w:hAnsi="仿宋" w:eastAsia="仿宋" w:cs="Times New Roman"/>
          <w:b/>
          <w:bCs/>
          <w:sz w:val="28"/>
          <w:szCs w:val="28"/>
        </w:rPr>
        <w:t>工作站管理，</w:t>
      </w:r>
      <w:r>
        <w:rPr>
          <w:rFonts w:hint="eastAsia" w:ascii="仿宋" w:hAnsi="仿宋" w:eastAsia="仿宋" w:cs="Times New Roman"/>
          <w:sz w:val="28"/>
          <w:szCs w:val="28"/>
        </w:rPr>
        <w:t>运维保障、流程管控与结果验收，通过智能薛岔APP，查看预警信息和生产指挥调度中心发布的问题任务清单，线上接收工作指令，分配工作任务。</w:t>
      </w:r>
    </w:p>
    <w:p>
      <w:pPr>
        <w:pStyle w:val="2"/>
        <w:keepNext w:val="0"/>
        <w:keepLines w:val="0"/>
        <w:pageBreakBefore w:val="0"/>
        <w:kinsoku/>
        <w:wordWrap/>
        <w:overflowPunct/>
        <w:topLinePunct w:val="0"/>
        <w:autoSpaceDE/>
        <w:autoSpaceDN/>
        <w:bidi w:val="0"/>
        <w:spacing w:beforeAutospacing="0" w:afterAutospacing="0" w:line="560" w:lineRule="exact"/>
        <w:ind w:left="0" w:firstLine="562" w:firstLineChars="200"/>
        <w:textAlignment w:val="auto"/>
        <w:rPr>
          <w:rFonts w:ascii="仿宋" w:hAnsi="仿宋" w:eastAsia="仿宋" w:cs="Times New Roman"/>
          <w:sz w:val="28"/>
          <w:szCs w:val="28"/>
        </w:rPr>
      </w:pPr>
      <w:r>
        <w:rPr>
          <w:rFonts w:hint="eastAsia" w:ascii="仿宋" w:hAnsi="仿宋" w:eastAsia="仿宋" w:cs="Times New Roman"/>
          <w:b/>
          <w:bCs/>
          <w:sz w:val="28"/>
          <w:szCs w:val="28"/>
        </w:rPr>
        <w:t>采油工与注采工</w:t>
      </w:r>
      <w:r>
        <w:rPr>
          <w:rFonts w:hint="eastAsia" w:ascii="仿宋" w:hAnsi="仿宋" w:eastAsia="仿宋" w:cs="Times New Roman"/>
          <w:sz w:val="28"/>
          <w:szCs w:val="28"/>
        </w:rPr>
        <w:t>，按照任务要求完成当日工作、规范操作，保障设备正常工作。</w:t>
      </w:r>
    </w:p>
    <w:p>
      <w:pPr>
        <w:pStyle w:val="2"/>
        <w:keepNext w:val="0"/>
        <w:keepLines w:val="0"/>
        <w:pageBreakBefore w:val="0"/>
        <w:kinsoku/>
        <w:wordWrap/>
        <w:overflowPunct/>
        <w:topLinePunct w:val="0"/>
        <w:autoSpaceDE/>
        <w:autoSpaceDN/>
        <w:bidi w:val="0"/>
        <w:spacing w:beforeAutospacing="0" w:afterAutospacing="0" w:line="560" w:lineRule="exact"/>
        <w:ind w:left="0" w:firstLine="562" w:firstLineChars="200"/>
        <w:textAlignment w:val="auto"/>
        <w:outlineLvl w:val="0"/>
        <w:rPr>
          <w:rFonts w:ascii="仿宋" w:hAnsi="仿宋" w:eastAsia="仿宋"/>
          <w:b/>
          <w:bCs/>
          <w:sz w:val="28"/>
          <w:szCs w:val="28"/>
        </w:rPr>
      </w:pPr>
      <w:bookmarkStart w:id="62" w:name="_Toc141278972"/>
      <w:bookmarkStart w:id="63" w:name="_Toc113461459"/>
      <w:bookmarkStart w:id="64" w:name="_Toc20727"/>
      <w:bookmarkStart w:id="65" w:name="_Toc27476"/>
      <w:bookmarkStart w:id="66" w:name="_Toc16285"/>
      <w:bookmarkStart w:id="67" w:name="_Toc27644"/>
      <w:r>
        <w:rPr>
          <w:rFonts w:hint="eastAsia" w:ascii="仿宋" w:hAnsi="仿宋" w:eastAsia="仿宋"/>
          <w:b/>
          <w:bCs/>
          <w:sz w:val="28"/>
          <w:szCs w:val="28"/>
        </w:rPr>
        <w:t>三、新型采油作业区以数字化转型为目标的全流程智能化协同管理的实施效果</w:t>
      </w:r>
      <w:bookmarkEnd w:id="62"/>
    </w:p>
    <w:p>
      <w:pPr>
        <w:pStyle w:val="2"/>
        <w:keepNext w:val="0"/>
        <w:keepLines w:val="0"/>
        <w:pageBreakBefore w:val="0"/>
        <w:kinsoku/>
        <w:wordWrap/>
        <w:overflowPunct/>
        <w:topLinePunct w:val="0"/>
        <w:autoSpaceDE/>
        <w:autoSpaceDN/>
        <w:bidi w:val="0"/>
        <w:spacing w:beforeAutospacing="0" w:afterAutospacing="0" w:line="560" w:lineRule="exact"/>
        <w:ind w:left="0" w:firstLine="562" w:firstLineChars="200"/>
        <w:textAlignment w:val="auto"/>
        <w:outlineLvl w:val="1"/>
        <w:rPr>
          <w:rFonts w:ascii="仿宋" w:hAnsi="仿宋" w:eastAsia="仿宋" w:cs="Times New Roman"/>
          <w:b/>
          <w:bCs/>
          <w:sz w:val="28"/>
          <w:szCs w:val="28"/>
          <w:lang w:eastAsia="zh-Hans"/>
        </w:rPr>
      </w:pPr>
      <w:bookmarkStart w:id="68" w:name="_Toc113461458"/>
      <w:bookmarkStart w:id="69" w:name="_Toc141278973"/>
      <w:r>
        <w:rPr>
          <w:rFonts w:hint="eastAsia" w:ascii="仿宋" w:hAnsi="仿宋" w:eastAsia="仿宋" w:cs="Times New Roman"/>
          <w:b/>
          <w:bCs/>
          <w:sz w:val="28"/>
          <w:szCs w:val="28"/>
        </w:rPr>
        <w:t>（一）智能化协同管理水平</w:t>
      </w:r>
      <w:bookmarkEnd w:id="68"/>
      <w:r>
        <w:rPr>
          <w:rFonts w:hint="eastAsia" w:ascii="仿宋" w:hAnsi="仿宋" w:eastAsia="仿宋" w:cs="Times New Roman"/>
          <w:b/>
          <w:bCs/>
          <w:sz w:val="28"/>
          <w:szCs w:val="28"/>
          <w:lang w:eastAsia="zh-Hans"/>
        </w:rPr>
        <w:t>不断提升</w:t>
      </w:r>
      <w:bookmarkEnd w:id="69"/>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通过智能化协同管理创新对传统线下业务的改造优化，提升传统业务的规范化管理水平和线上在线闭环，提高现场工作效率、降低生产成本、过程有效监管。</w:t>
      </w:r>
    </w:p>
    <w:p>
      <w:pPr>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Times New Roman"/>
          <w:b/>
          <w:bCs/>
          <w:sz w:val="28"/>
          <w:szCs w:val="28"/>
        </w:rPr>
      </w:pPr>
      <w:r>
        <w:rPr>
          <w:rFonts w:hint="eastAsia" w:ascii="仿宋" w:hAnsi="仿宋" w:eastAsia="仿宋" w:cs="Times New Roman"/>
          <w:b/>
          <w:bCs/>
          <w:sz w:val="28"/>
          <w:szCs w:val="28"/>
        </w:rPr>
        <w:t>表2 智能化协同管理创新实践前后管理水平对比表</w:t>
      </w:r>
    </w:p>
    <w:tbl>
      <w:tblPr>
        <w:tblStyle w:val="19"/>
        <w:tblW w:w="4998" w:type="pct"/>
        <w:tblCellSpacing w:w="0" w:type="dxa"/>
        <w:tblInd w:w="0" w:type="dxa"/>
        <w:tblLayout w:type="autofit"/>
        <w:tblCellMar>
          <w:top w:w="0" w:type="dxa"/>
          <w:left w:w="0" w:type="dxa"/>
          <w:bottom w:w="0" w:type="dxa"/>
          <w:right w:w="0" w:type="dxa"/>
        </w:tblCellMar>
      </w:tblPr>
      <w:tblGrid>
        <w:gridCol w:w="873"/>
        <w:gridCol w:w="1513"/>
        <w:gridCol w:w="3402"/>
        <w:gridCol w:w="2751"/>
      </w:tblGrid>
      <w:tr>
        <w:tblPrEx>
          <w:tblCellMar>
            <w:top w:w="0" w:type="dxa"/>
            <w:left w:w="0" w:type="dxa"/>
            <w:bottom w:w="0" w:type="dxa"/>
            <w:right w:w="0" w:type="dxa"/>
          </w:tblCellMar>
        </w:tblPrEx>
        <w:trPr>
          <w:trHeight w:val="620" w:hRule="atLeast"/>
          <w:tblCellSpacing w:w="0" w:type="dxa"/>
        </w:trPr>
        <w:tc>
          <w:tcPr>
            <w:tcW w:w="511" w:type="pct"/>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b/>
                <w:bCs/>
                <w:sz w:val="28"/>
                <w:szCs w:val="28"/>
              </w:rPr>
            </w:pPr>
            <w:r>
              <w:rPr>
                <w:rFonts w:hint="eastAsia" w:ascii="仿宋" w:hAnsi="仿宋" w:eastAsia="仿宋" w:cs="仿宋"/>
                <w:b/>
                <w:bCs/>
                <w:sz w:val="28"/>
                <w:szCs w:val="28"/>
              </w:rPr>
              <w:t>序号</w:t>
            </w:r>
          </w:p>
        </w:tc>
        <w:tc>
          <w:tcPr>
            <w:tcW w:w="886" w:type="pct"/>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b/>
                <w:bCs/>
                <w:sz w:val="28"/>
                <w:szCs w:val="28"/>
              </w:rPr>
            </w:pPr>
            <w:r>
              <w:rPr>
                <w:rFonts w:hint="eastAsia" w:ascii="仿宋" w:hAnsi="仿宋" w:eastAsia="仿宋" w:cs="仿宋"/>
                <w:b/>
                <w:bCs/>
                <w:sz w:val="28"/>
                <w:szCs w:val="28"/>
              </w:rPr>
              <w:t>项目分类</w:t>
            </w:r>
          </w:p>
        </w:tc>
        <w:tc>
          <w:tcPr>
            <w:tcW w:w="1992" w:type="pct"/>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b/>
                <w:bCs/>
                <w:sz w:val="28"/>
                <w:szCs w:val="28"/>
              </w:rPr>
            </w:pPr>
            <w:r>
              <w:rPr>
                <w:rFonts w:hint="eastAsia" w:ascii="仿宋" w:hAnsi="仿宋" w:eastAsia="仿宋" w:cs="仿宋"/>
                <w:b/>
                <w:bCs/>
                <w:sz w:val="28"/>
                <w:szCs w:val="28"/>
              </w:rPr>
              <w:t>实施前</w:t>
            </w:r>
          </w:p>
        </w:tc>
        <w:tc>
          <w:tcPr>
            <w:tcW w:w="1611" w:type="pct"/>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b/>
                <w:bCs/>
                <w:sz w:val="28"/>
                <w:szCs w:val="28"/>
              </w:rPr>
            </w:pPr>
            <w:r>
              <w:rPr>
                <w:rFonts w:hint="eastAsia" w:ascii="仿宋" w:hAnsi="仿宋" w:eastAsia="仿宋" w:cs="仿宋"/>
                <w:b/>
                <w:bCs/>
                <w:sz w:val="28"/>
                <w:szCs w:val="28"/>
              </w:rPr>
              <w:t>实施后</w:t>
            </w:r>
          </w:p>
        </w:tc>
      </w:tr>
      <w:tr>
        <w:tblPrEx>
          <w:tblCellMar>
            <w:top w:w="0" w:type="dxa"/>
            <w:left w:w="0" w:type="dxa"/>
            <w:bottom w:w="0" w:type="dxa"/>
            <w:right w:w="0" w:type="dxa"/>
          </w:tblCellMar>
        </w:tblPrEx>
        <w:trPr>
          <w:trHeight w:val="800" w:hRule="atLeast"/>
          <w:tblCellSpacing w:w="0" w:type="dxa"/>
        </w:trPr>
        <w:tc>
          <w:tcPr>
            <w:tcW w:w="51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sz w:val="28"/>
                <w:szCs w:val="28"/>
              </w:rPr>
            </w:pPr>
            <w:r>
              <w:rPr>
                <w:rFonts w:hint="eastAsia" w:ascii="仿宋" w:hAnsi="仿宋" w:eastAsia="仿宋" w:cs="仿宋"/>
                <w:sz w:val="28"/>
                <w:szCs w:val="28"/>
              </w:rPr>
              <w:t>1</w:t>
            </w:r>
          </w:p>
        </w:tc>
        <w:tc>
          <w:tcPr>
            <w:tcW w:w="886"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管理制度</w:t>
            </w:r>
          </w:p>
        </w:tc>
        <w:tc>
          <w:tcPr>
            <w:tcW w:w="1992"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驻井+巡井制度</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全面落实巡井制度</w:t>
            </w:r>
          </w:p>
        </w:tc>
      </w:tr>
      <w:tr>
        <w:tblPrEx>
          <w:tblCellMar>
            <w:top w:w="0" w:type="dxa"/>
            <w:left w:w="0" w:type="dxa"/>
            <w:bottom w:w="0" w:type="dxa"/>
            <w:right w:w="0" w:type="dxa"/>
          </w:tblCellMar>
        </w:tblPrEx>
        <w:trPr>
          <w:trHeight w:val="800" w:hRule="atLeast"/>
          <w:tblCellSpacing w:w="0" w:type="dxa"/>
        </w:trPr>
        <w:tc>
          <w:tcPr>
            <w:tcW w:w="51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sz w:val="28"/>
                <w:szCs w:val="28"/>
              </w:rPr>
            </w:pPr>
            <w:r>
              <w:rPr>
                <w:rFonts w:hint="eastAsia" w:ascii="仿宋" w:hAnsi="仿宋" w:eastAsia="仿宋" w:cs="仿宋"/>
                <w:sz w:val="28"/>
                <w:szCs w:val="28"/>
              </w:rPr>
              <w:t>2</w:t>
            </w:r>
          </w:p>
        </w:tc>
        <w:tc>
          <w:tcPr>
            <w:tcW w:w="886"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管理模式</w:t>
            </w:r>
          </w:p>
        </w:tc>
        <w:tc>
          <w:tcPr>
            <w:tcW w:w="1992"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难以形成闭环，工作无留痕</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完全闭环管理，线上工作留痕</w:t>
            </w:r>
          </w:p>
        </w:tc>
      </w:tr>
      <w:tr>
        <w:tblPrEx>
          <w:tblCellMar>
            <w:top w:w="0" w:type="dxa"/>
            <w:left w:w="0" w:type="dxa"/>
            <w:bottom w:w="0" w:type="dxa"/>
            <w:right w:w="0" w:type="dxa"/>
          </w:tblCellMar>
        </w:tblPrEx>
        <w:trPr>
          <w:trHeight w:val="800" w:hRule="atLeast"/>
          <w:tblCellSpacing w:w="0" w:type="dxa"/>
        </w:trPr>
        <w:tc>
          <w:tcPr>
            <w:tcW w:w="51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sz w:val="28"/>
                <w:szCs w:val="28"/>
              </w:rPr>
            </w:pPr>
            <w:r>
              <w:rPr>
                <w:rFonts w:hint="eastAsia" w:ascii="仿宋" w:hAnsi="仿宋" w:eastAsia="仿宋" w:cs="仿宋"/>
                <w:sz w:val="28"/>
                <w:szCs w:val="28"/>
              </w:rPr>
              <w:t>3</w:t>
            </w:r>
          </w:p>
        </w:tc>
        <w:tc>
          <w:tcPr>
            <w:tcW w:w="886"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数据采集</w:t>
            </w:r>
          </w:p>
        </w:tc>
        <w:tc>
          <w:tcPr>
            <w:tcW w:w="1992"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数据无法及时、准确采集</w:t>
            </w:r>
            <w:r>
              <w:rPr>
                <w:rFonts w:hint="eastAsia" w:ascii="仿宋" w:hAnsi="仿宋" w:eastAsia="仿宋" w:cs="仿宋"/>
                <w:sz w:val="28"/>
                <w:szCs w:val="28"/>
              </w:rPr>
              <w:tab/>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数据自动、及时、准确、全采集</w:t>
            </w:r>
          </w:p>
        </w:tc>
      </w:tr>
      <w:tr>
        <w:tblPrEx>
          <w:tblCellMar>
            <w:top w:w="0" w:type="dxa"/>
            <w:left w:w="0" w:type="dxa"/>
            <w:bottom w:w="0" w:type="dxa"/>
            <w:right w:w="0" w:type="dxa"/>
          </w:tblCellMar>
        </w:tblPrEx>
        <w:trPr>
          <w:trHeight w:val="800" w:hRule="atLeast"/>
          <w:tblCellSpacing w:w="0" w:type="dxa"/>
        </w:trPr>
        <w:tc>
          <w:tcPr>
            <w:tcW w:w="51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sz w:val="28"/>
                <w:szCs w:val="28"/>
              </w:rPr>
            </w:pPr>
            <w:r>
              <w:rPr>
                <w:rFonts w:ascii="仿宋" w:hAnsi="仿宋" w:eastAsia="仿宋" w:cs="仿宋"/>
                <w:sz w:val="28"/>
                <w:szCs w:val="28"/>
              </w:rPr>
              <w:t>4</w:t>
            </w:r>
          </w:p>
        </w:tc>
        <w:tc>
          <w:tcPr>
            <w:tcW w:w="886"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安全管理</w:t>
            </w:r>
          </w:p>
        </w:tc>
        <w:tc>
          <w:tcPr>
            <w:tcW w:w="1992"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人工巡查频度低、结果反馈落实不及时</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视频实时巡检无盲区，安全隐患随手拍，全年安全0事故。</w:t>
            </w:r>
          </w:p>
        </w:tc>
      </w:tr>
      <w:tr>
        <w:tblPrEx>
          <w:tblCellMar>
            <w:top w:w="0" w:type="dxa"/>
            <w:left w:w="0" w:type="dxa"/>
            <w:bottom w:w="0" w:type="dxa"/>
            <w:right w:w="0" w:type="dxa"/>
          </w:tblCellMar>
        </w:tblPrEx>
        <w:trPr>
          <w:trHeight w:val="800" w:hRule="atLeast"/>
          <w:tblCellSpacing w:w="0" w:type="dxa"/>
        </w:trPr>
        <w:tc>
          <w:tcPr>
            <w:tcW w:w="51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sz w:val="28"/>
                <w:szCs w:val="28"/>
              </w:rPr>
            </w:pPr>
            <w:r>
              <w:rPr>
                <w:rFonts w:ascii="仿宋" w:hAnsi="仿宋" w:eastAsia="仿宋" w:cs="仿宋"/>
                <w:sz w:val="28"/>
                <w:szCs w:val="28"/>
              </w:rPr>
              <w:t>5</w:t>
            </w:r>
          </w:p>
        </w:tc>
        <w:tc>
          <w:tcPr>
            <w:tcW w:w="886"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管理水平</w:t>
            </w:r>
          </w:p>
        </w:tc>
        <w:tc>
          <w:tcPr>
            <w:tcW w:w="1992"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减员增效压力大、工作监管难、管理水平落后</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减员、增效、高效运行、管理水平提升</w:t>
            </w:r>
          </w:p>
        </w:tc>
      </w:tr>
      <w:tr>
        <w:tblPrEx>
          <w:tblCellMar>
            <w:top w:w="0" w:type="dxa"/>
            <w:left w:w="0" w:type="dxa"/>
            <w:bottom w:w="0" w:type="dxa"/>
            <w:right w:w="0" w:type="dxa"/>
          </w:tblCellMar>
        </w:tblPrEx>
        <w:trPr>
          <w:trHeight w:val="800" w:hRule="atLeast"/>
          <w:tblCellSpacing w:w="0" w:type="dxa"/>
        </w:trPr>
        <w:tc>
          <w:tcPr>
            <w:tcW w:w="51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sz w:val="28"/>
                <w:szCs w:val="28"/>
              </w:rPr>
            </w:pPr>
            <w:r>
              <w:rPr>
                <w:rFonts w:ascii="仿宋" w:hAnsi="仿宋" w:eastAsia="仿宋" w:cs="仿宋"/>
                <w:sz w:val="28"/>
                <w:szCs w:val="28"/>
              </w:rPr>
              <w:t>6</w:t>
            </w:r>
          </w:p>
        </w:tc>
        <w:tc>
          <w:tcPr>
            <w:tcW w:w="886"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工作效率</w:t>
            </w:r>
          </w:p>
        </w:tc>
        <w:tc>
          <w:tcPr>
            <w:tcW w:w="1992"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线下工作方式效率低、落实差</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线上一体化管理，工作效率提升4</w:t>
            </w:r>
            <w:r>
              <w:rPr>
                <w:rFonts w:ascii="仿宋" w:hAnsi="仿宋" w:eastAsia="仿宋" w:cs="仿宋"/>
                <w:sz w:val="28"/>
                <w:szCs w:val="28"/>
              </w:rPr>
              <w:t>5</w:t>
            </w:r>
            <w:r>
              <w:rPr>
                <w:rFonts w:hint="eastAsia" w:ascii="仿宋" w:hAnsi="仿宋" w:eastAsia="仿宋" w:cs="仿宋"/>
                <w:sz w:val="28"/>
                <w:szCs w:val="28"/>
              </w:rPr>
              <w:t>%</w:t>
            </w:r>
          </w:p>
        </w:tc>
      </w:tr>
      <w:tr>
        <w:tblPrEx>
          <w:tblCellMar>
            <w:top w:w="0" w:type="dxa"/>
            <w:left w:w="0" w:type="dxa"/>
            <w:bottom w:w="0" w:type="dxa"/>
            <w:right w:w="0" w:type="dxa"/>
          </w:tblCellMar>
        </w:tblPrEx>
        <w:trPr>
          <w:trHeight w:val="800" w:hRule="atLeast"/>
          <w:tblCellSpacing w:w="0" w:type="dxa"/>
        </w:trPr>
        <w:tc>
          <w:tcPr>
            <w:tcW w:w="51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sz w:val="28"/>
                <w:szCs w:val="28"/>
              </w:rPr>
            </w:pPr>
            <w:r>
              <w:rPr>
                <w:rFonts w:ascii="仿宋" w:hAnsi="仿宋" w:eastAsia="仿宋" w:cs="仿宋"/>
                <w:sz w:val="28"/>
                <w:szCs w:val="28"/>
              </w:rPr>
              <w:t>7</w:t>
            </w:r>
          </w:p>
        </w:tc>
        <w:tc>
          <w:tcPr>
            <w:tcW w:w="886"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工作积极性</w:t>
            </w:r>
          </w:p>
        </w:tc>
        <w:tc>
          <w:tcPr>
            <w:tcW w:w="1992"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职工被动式工作，积极性差</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职工主动式工作，积极性高，幸福感高</w:t>
            </w:r>
          </w:p>
        </w:tc>
      </w:tr>
      <w:tr>
        <w:tblPrEx>
          <w:tblCellMar>
            <w:top w:w="0" w:type="dxa"/>
            <w:left w:w="0" w:type="dxa"/>
            <w:bottom w:w="0" w:type="dxa"/>
            <w:right w:w="0" w:type="dxa"/>
          </w:tblCellMar>
        </w:tblPrEx>
        <w:trPr>
          <w:trHeight w:val="800" w:hRule="atLeast"/>
          <w:tblCellSpacing w:w="0" w:type="dxa"/>
        </w:trPr>
        <w:tc>
          <w:tcPr>
            <w:tcW w:w="51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sz w:val="28"/>
                <w:szCs w:val="28"/>
              </w:rPr>
            </w:pPr>
            <w:r>
              <w:rPr>
                <w:rFonts w:ascii="仿宋" w:hAnsi="仿宋" w:eastAsia="仿宋" w:cs="仿宋"/>
                <w:sz w:val="28"/>
                <w:szCs w:val="28"/>
              </w:rPr>
              <w:t>8</w:t>
            </w:r>
          </w:p>
        </w:tc>
        <w:tc>
          <w:tcPr>
            <w:tcW w:w="886"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低碳生产</w:t>
            </w:r>
          </w:p>
        </w:tc>
        <w:tc>
          <w:tcPr>
            <w:tcW w:w="1992"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推行低碳生产，但是落实难</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实现低碳生产</w:t>
            </w:r>
          </w:p>
        </w:tc>
      </w:tr>
    </w:tbl>
    <w:p>
      <w:pPr>
        <w:pStyle w:val="2"/>
        <w:keepNext w:val="0"/>
        <w:keepLines w:val="0"/>
        <w:pageBreakBefore w:val="0"/>
        <w:kinsoku/>
        <w:wordWrap/>
        <w:overflowPunct/>
        <w:topLinePunct w:val="0"/>
        <w:autoSpaceDE/>
        <w:autoSpaceDN/>
        <w:bidi w:val="0"/>
        <w:spacing w:beforeAutospacing="0" w:afterAutospacing="0" w:line="560" w:lineRule="exact"/>
        <w:ind w:left="0" w:firstLine="562" w:firstLineChars="200"/>
        <w:textAlignment w:val="auto"/>
        <w:outlineLvl w:val="1"/>
        <w:rPr>
          <w:rFonts w:ascii="仿宋" w:hAnsi="仿宋" w:eastAsia="仿宋" w:cs="Times New Roman"/>
          <w:b/>
          <w:bCs/>
          <w:sz w:val="28"/>
          <w:szCs w:val="28"/>
          <w:lang w:eastAsia="zh-Hans"/>
        </w:rPr>
      </w:pPr>
      <w:bookmarkStart w:id="70" w:name="_Toc141278974"/>
      <w:r>
        <w:rPr>
          <w:rFonts w:hint="eastAsia" w:ascii="仿宋" w:hAnsi="仿宋" w:eastAsia="仿宋" w:cs="Times New Roman"/>
          <w:b/>
          <w:bCs/>
          <w:sz w:val="28"/>
          <w:szCs w:val="28"/>
        </w:rPr>
        <w:t>（二）经济效益</w:t>
      </w:r>
      <w:bookmarkEnd w:id="63"/>
      <w:r>
        <w:rPr>
          <w:rFonts w:hint="eastAsia" w:ascii="仿宋" w:hAnsi="仿宋" w:eastAsia="仿宋" w:cs="Times New Roman"/>
          <w:b/>
          <w:bCs/>
          <w:sz w:val="28"/>
          <w:szCs w:val="28"/>
          <w:lang w:eastAsia="zh-Hans"/>
        </w:rPr>
        <w:t>显著</w:t>
      </w:r>
      <w:bookmarkEnd w:id="70"/>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bookmarkStart w:id="71" w:name="_Toc113461460"/>
      <w:r>
        <w:rPr>
          <w:rFonts w:hint="eastAsia" w:ascii="仿宋" w:hAnsi="仿宋" w:eastAsia="仿宋" w:cs="Times New Roman"/>
          <w:sz w:val="28"/>
          <w:szCs w:val="28"/>
        </w:rPr>
        <w:t>建设总投资为3200万，于2020年启动，2021年初全面投用，经过近2年的运行，经济效益明显，主要体现在以下几个方面：</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（1）稳产增产</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利用物联网感知系统的智能诊断、综合分析，并通过规范化、程序化的油水井异常管理流程，有效的降低了因工况异常、设备异常导致的停井时长，提高油井利用率，注水井的配注合格率，提高生产时率1.5%，累计增产原油3250吨，按税后原油价格3121.23元/吨计算（延长内部），增加营收1014万元。</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（2）降本增效</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通过设备材料的优化资产配置，盘活设备67台、材料16类，节约费用42万元；通过设备异常核实、维修更换，维修井场35宗，设备253台，节约费用32.</w:t>
      </w:r>
      <w:r>
        <w:rPr>
          <w:rFonts w:ascii="仿宋" w:hAnsi="仿宋" w:eastAsia="仿宋" w:cs="Times New Roman"/>
          <w:sz w:val="28"/>
          <w:szCs w:val="28"/>
        </w:rPr>
        <w:t>6</w:t>
      </w:r>
      <w:r>
        <w:rPr>
          <w:rFonts w:hint="eastAsia" w:ascii="仿宋" w:hAnsi="仿宋" w:eastAsia="仿宋" w:cs="Times New Roman"/>
          <w:sz w:val="28"/>
          <w:szCs w:val="28"/>
        </w:rPr>
        <w:t>万元；通过无纸化填报与办公，节约纸张使用费用4.5万元；实行科学的间抽制度，在稳产的前提下节省了电费</w:t>
      </w:r>
      <w:r>
        <w:rPr>
          <w:rFonts w:ascii="仿宋" w:hAnsi="仿宋" w:eastAsia="仿宋" w:cs="Times New Roman"/>
          <w:sz w:val="28"/>
          <w:szCs w:val="28"/>
        </w:rPr>
        <w:t>268.3</w:t>
      </w:r>
      <w:r>
        <w:rPr>
          <w:rFonts w:hint="eastAsia" w:ascii="仿宋" w:hAnsi="仿宋" w:eastAsia="仿宋" w:cs="Times New Roman"/>
          <w:sz w:val="28"/>
          <w:szCs w:val="28"/>
        </w:rPr>
        <w:t>万元，此外由于实行驻井转巡井，每年增加车辆使用费12.1万元，生产成本每年累计节约费用为</w:t>
      </w:r>
      <w:r>
        <w:rPr>
          <w:rFonts w:ascii="仿宋" w:hAnsi="仿宋" w:eastAsia="仿宋" w:cs="Times New Roman"/>
          <w:sz w:val="28"/>
          <w:szCs w:val="28"/>
        </w:rPr>
        <w:t>335.3</w:t>
      </w:r>
      <w:r>
        <w:rPr>
          <w:rFonts w:hint="eastAsia" w:ascii="仿宋" w:hAnsi="仿宋" w:eastAsia="仿宋" w:cs="Times New Roman"/>
          <w:sz w:val="28"/>
          <w:szCs w:val="28"/>
        </w:rPr>
        <w:t>万元。</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（3）减员增效</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通过物联网建设，实现油水井动态参数自动采集及视频全覆盖，降低了人工采集、人工巡查工作量，通过智能数据填报实现数据采集无纸化，降低数据填报工作量，同时实行驻井转巡井工作模式，作业区自创新实践以来共实现减员136人，人均10万元/年，减少1360万元；</w:t>
      </w:r>
    </w:p>
    <w:p>
      <w:pPr>
        <w:pStyle w:val="2"/>
        <w:keepNext w:val="0"/>
        <w:keepLines w:val="0"/>
        <w:pageBreakBefore w:val="0"/>
        <w:kinsoku/>
        <w:wordWrap/>
        <w:overflowPunct/>
        <w:topLinePunct w:val="0"/>
        <w:autoSpaceDE/>
        <w:autoSpaceDN/>
        <w:bidi w:val="0"/>
        <w:spacing w:beforeAutospacing="0" w:afterAutospacing="0" w:line="560" w:lineRule="exact"/>
        <w:ind w:left="0" w:firstLine="560" w:firstLineChars="200"/>
        <w:textAlignment w:val="auto"/>
        <w:rPr>
          <w:rFonts w:ascii="仿宋" w:hAnsi="仿宋" w:eastAsia="仿宋" w:cs="Times New Roman"/>
          <w:sz w:val="28"/>
          <w:szCs w:val="28"/>
        </w:rPr>
      </w:pPr>
      <w:r>
        <w:rPr>
          <w:rFonts w:hint="eastAsia" w:ascii="仿宋" w:hAnsi="仿宋" w:eastAsia="仿宋" w:cs="Times New Roman"/>
          <w:sz w:val="28"/>
          <w:szCs w:val="28"/>
        </w:rPr>
        <w:t>综上所述，每年可实现增效2</w:t>
      </w:r>
      <w:r>
        <w:rPr>
          <w:rFonts w:ascii="仿宋" w:hAnsi="仿宋" w:eastAsia="仿宋" w:cs="Times New Roman"/>
          <w:sz w:val="28"/>
          <w:szCs w:val="28"/>
        </w:rPr>
        <w:t>709.3</w:t>
      </w:r>
      <w:r>
        <w:rPr>
          <w:rFonts w:hint="eastAsia" w:ascii="仿宋" w:hAnsi="仿宋" w:eastAsia="仿宋" w:cs="Times New Roman"/>
          <w:sz w:val="28"/>
          <w:szCs w:val="28"/>
        </w:rPr>
        <w:t>万元，扣除成本，五年平均增效2</w:t>
      </w:r>
      <w:r>
        <w:rPr>
          <w:rFonts w:ascii="仿宋" w:hAnsi="仿宋" w:eastAsia="仿宋" w:cs="Times New Roman"/>
          <w:sz w:val="28"/>
          <w:szCs w:val="28"/>
        </w:rPr>
        <w:t>069.3</w:t>
      </w:r>
      <w:r>
        <w:rPr>
          <w:rFonts w:hint="eastAsia" w:ascii="仿宋" w:hAnsi="仿宋" w:eastAsia="仿宋" w:cs="Times New Roman"/>
          <w:sz w:val="28"/>
          <w:szCs w:val="28"/>
        </w:rPr>
        <w:t>万元。如形成推广，考虑到产能、人员组织等情况，每个采油单位按薛岔效益的2</w:t>
      </w:r>
      <w:r>
        <w:rPr>
          <w:rFonts w:ascii="仿宋" w:hAnsi="仿宋" w:eastAsia="仿宋" w:cs="Times New Roman"/>
          <w:sz w:val="28"/>
          <w:szCs w:val="28"/>
        </w:rPr>
        <w:t>/3</w:t>
      </w:r>
      <w:r>
        <w:rPr>
          <w:rFonts w:hint="eastAsia" w:ascii="仿宋" w:hAnsi="仿宋" w:eastAsia="仿宋" w:cs="Times New Roman"/>
          <w:sz w:val="28"/>
          <w:szCs w:val="28"/>
        </w:rPr>
        <w:t>计算，吴起采油厂（1</w:t>
      </w:r>
      <w:r>
        <w:rPr>
          <w:rFonts w:ascii="仿宋" w:hAnsi="仿宋" w:eastAsia="仿宋" w:cs="Times New Roman"/>
          <w:sz w:val="28"/>
          <w:szCs w:val="28"/>
        </w:rPr>
        <w:t>8</w:t>
      </w:r>
      <w:r>
        <w:rPr>
          <w:rFonts w:hint="eastAsia" w:ascii="仿宋" w:hAnsi="仿宋" w:eastAsia="仿宋" w:cs="Times New Roman"/>
          <w:sz w:val="28"/>
          <w:szCs w:val="28"/>
        </w:rPr>
        <w:t>个队级单位）平均每年可实现增效约2</w:t>
      </w:r>
      <w:r>
        <w:rPr>
          <w:rFonts w:ascii="仿宋" w:hAnsi="仿宋" w:eastAsia="仿宋" w:cs="Times New Roman"/>
          <w:sz w:val="28"/>
          <w:szCs w:val="28"/>
        </w:rPr>
        <w:t>.5</w:t>
      </w:r>
      <w:r>
        <w:rPr>
          <w:rFonts w:hint="eastAsia" w:ascii="仿宋" w:hAnsi="仿宋" w:eastAsia="仿宋" w:cs="Times New Roman"/>
          <w:sz w:val="28"/>
          <w:szCs w:val="28"/>
        </w:rPr>
        <w:t>亿，全油田（1</w:t>
      </w:r>
      <w:r>
        <w:rPr>
          <w:rFonts w:ascii="仿宋" w:hAnsi="仿宋" w:eastAsia="仿宋" w:cs="Times New Roman"/>
          <w:sz w:val="28"/>
          <w:szCs w:val="28"/>
        </w:rPr>
        <w:t>31</w:t>
      </w:r>
      <w:r>
        <w:rPr>
          <w:rFonts w:hint="eastAsia" w:ascii="仿宋" w:hAnsi="仿宋" w:eastAsia="仿宋" w:cs="Times New Roman"/>
          <w:sz w:val="28"/>
          <w:szCs w:val="28"/>
        </w:rPr>
        <w:t>个队级单位）推广预计每年可实现增效约1</w:t>
      </w:r>
      <w:r>
        <w:rPr>
          <w:rFonts w:ascii="仿宋" w:hAnsi="仿宋" w:eastAsia="仿宋" w:cs="Times New Roman"/>
          <w:sz w:val="28"/>
          <w:szCs w:val="28"/>
        </w:rPr>
        <w:t>8.2</w:t>
      </w:r>
      <w:r>
        <w:rPr>
          <w:rFonts w:hint="eastAsia" w:ascii="仿宋" w:hAnsi="仿宋" w:eastAsia="仿宋" w:cs="Times New Roman"/>
          <w:sz w:val="28"/>
          <w:szCs w:val="28"/>
        </w:rPr>
        <w:t>亿。</w:t>
      </w:r>
    </w:p>
    <w:p>
      <w:pPr>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Times New Roman"/>
          <w:sz w:val="28"/>
          <w:szCs w:val="28"/>
        </w:rPr>
      </w:pPr>
      <w:r>
        <w:rPr>
          <w:rFonts w:hint="eastAsia" w:ascii="仿宋" w:hAnsi="仿宋" w:eastAsia="仿宋" w:cs="Times New Roman"/>
          <w:b/>
          <w:bCs/>
          <w:sz w:val="28"/>
          <w:szCs w:val="28"/>
        </w:rPr>
        <w:t>表3</w:t>
      </w:r>
      <w:r>
        <w:rPr>
          <w:rFonts w:hint="eastAsia" w:ascii="仿宋" w:hAnsi="仿宋" w:eastAsia="仿宋"/>
          <w:b/>
          <w:bCs/>
          <w:sz w:val="28"/>
          <w:szCs w:val="28"/>
        </w:rPr>
        <w:t>智能化协同管理创新实践经济效益前后</w:t>
      </w:r>
      <w:r>
        <w:rPr>
          <w:rFonts w:hint="eastAsia" w:ascii="仿宋" w:hAnsi="仿宋" w:eastAsia="仿宋" w:cs="Times New Roman"/>
          <w:b/>
          <w:bCs/>
          <w:sz w:val="28"/>
          <w:szCs w:val="28"/>
        </w:rPr>
        <w:t>对比表</w:t>
      </w:r>
    </w:p>
    <w:tbl>
      <w:tblPr>
        <w:tblStyle w:val="19"/>
        <w:tblW w:w="4998" w:type="pct"/>
        <w:tblCellSpacing w:w="0" w:type="dxa"/>
        <w:tblInd w:w="2" w:type="dxa"/>
        <w:tblBorders>
          <w:top w:val="inset" w:color="595959" w:sz="6" w:space="0"/>
          <w:left w:val="inset" w:color="595959" w:sz="6" w:space="0"/>
          <w:bottom w:val="inset" w:color="595959" w:sz="6" w:space="0"/>
          <w:right w:val="inset" w:color="595959" w:sz="6" w:space="0"/>
          <w:insideH w:val="none" w:color="auto" w:sz="0" w:space="0"/>
          <w:insideV w:val="none" w:color="auto" w:sz="0" w:space="0"/>
        </w:tblBorders>
        <w:tblLayout w:type="autofit"/>
        <w:tblCellMar>
          <w:top w:w="0" w:type="dxa"/>
          <w:left w:w="0" w:type="dxa"/>
          <w:bottom w:w="0" w:type="dxa"/>
          <w:right w:w="0" w:type="dxa"/>
        </w:tblCellMar>
      </w:tblPr>
      <w:tblGrid>
        <w:gridCol w:w="727"/>
        <w:gridCol w:w="1688"/>
        <w:gridCol w:w="1951"/>
        <w:gridCol w:w="2212"/>
        <w:gridCol w:w="1971"/>
      </w:tblGrid>
      <w:tr>
        <w:tblPrEx>
          <w:tblBorders>
            <w:top w:val="inset" w:color="595959" w:sz="6" w:space="0"/>
            <w:left w:val="inset" w:color="595959" w:sz="6" w:space="0"/>
            <w:bottom w:val="inset" w:color="595959" w:sz="6" w:space="0"/>
            <w:right w:val="inset" w:color="595959" w:sz="6" w:space="0"/>
            <w:insideH w:val="none" w:color="auto" w:sz="0" w:space="0"/>
            <w:insideV w:val="none" w:color="auto" w:sz="0" w:space="0"/>
          </w:tblBorders>
          <w:tblCellMar>
            <w:top w:w="0" w:type="dxa"/>
            <w:left w:w="0" w:type="dxa"/>
            <w:bottom w:w="0" w:type="dxa"/>
            <w:right w:w="0" w:type="dxa"/>
          </w:tblCellMar>
        </w:tblPrEx>
        <w:trPr>
          <w:trHeight w:val="480" w:hRule="atLeast"/>
          <w:tblCellSpacing w:w="0" w:type="dxa"/>
        </w:trPr>
        <w:tc>
          <w:tcPr>
            <w:tcW w:w="425" w:type="pct"/>
            <w:tcBorders>
              <w:tl2br w:val="nil"/>
              <w:tr2bl w:val="nil"/>
            </w:tcBorders>
            <w:shd w:val="clear" w:color="auto" w:fill="EEECE1"/>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b/>
                <w:bCs/>
                <w:sz w:val="28"/>
                <w:szCs w:val="28"/>
              </w:rPr>
            </w:pPr>
            <w:r>
              <w:rPr>
                <w:rFonts w:hint="eastAsia" w:ascii="仿宋" w:hAnsi="仿宋" w:eastAsia="仿宋" w:cs="仿宋"/>
                <w:b/>
                <w:bCs/>
                <w:sz w:val="28"/>
                <w:szCs w:val="28"/>
              </w:rPr>
              <w:t>序号</w:t>
            </w:r>
          </w:p>
        </w:tc>
        <w:tc>
          <w:tcPr>
            <w:tcW w:w="987" w:type="pct"/>
            <w:tcBorders>
              <w:tl2br w:val="nil"/>
              <w:tr2bl w:val="nil"/>
            </w:tcBorders>
            <w:shd w:val="clear" w:color="auto" w:fill="EEECE1"/>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b/>
                <w:bCs/>
                <w:sz w:val="28"/>
                <w:szCs w:val="28"/>
              </w:rPr>
            </w:pPr>
            <w:r>
              <w:rPr>
                <w:rFonts w:hint="eastAsia" w:ascii="仿宋" w:hAnsi="仿宋" w:eastAsia="仿宋" w:cs="仿宋"/>
                <w:b/>
                <w:bCs/>
                <w:sz w:val="28"/>
                <w:szCs w:val="28"/>
              </w:rPr>
              <w:t>效益</w:t>
            </w:r>
          </w:p>
        </w:tc>
        <w:tc>
          <w:tcPr>
            <w:tcW w:w="1141" w:type="pct"/>
            <w:tcBorders>
              <w:tl2br w:val="nil"/>
              <w:tr2bl w:val="nil"/>
            </w:tcBorders>
            <w:shd w:val="clear" w:color="auto" w:fill="EEECE1"/>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b/>
                <w:bCs/>
                <w:sz w:val="28"/>
                <w:szCs w:val="28"/>
              </w:rPr>
            </w:pPr>
            <w:r>
              <w:rPr>
                <w:rFonts w:hint="eastAsia" w:ascii="仿宋" w:hAnsi="仿宋" w:eastAsia="仿宋" w:cs="仿宋"/>
                <w:b/>
                <w:bCs/>
                <w:sz w:val="28"/>
                <w:szCs w:val="28"/>
              </w:rPr>
              <w:t>建设前</w:t>
            </w:r>
          </w:p>
        </w:tc>
        <w:tc>
          <w:tcPr>
            <w:tcW w:w="1294" w:type="pct"/>
            <w:tcBorders>
              <w:tl2br w:val="nil"/>
              <w:tr2bl w:val="nil"/>
            </w:tcBorders>
            <w:shd w:val="clear" w:color="auto" w:fill="EEECE1"/>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b/>
                <w:bCs/>
                <w:sz w:val="28"/>
                <w:szCs w:val="28"/>
              </w:rPr>
            </w:pPr>
            <w:r>
              <w:rPr>
                <w:rFonts w:hint="eastAsia" w:ascii="仿宋" w:hAnsi="仿宋" w:eastAsia="仿宋" w:cs="仿宋"/>
                <w:b/>
                <w:bCs/>
                <w:sz w:val="28"/>
                <w:szCs w:val="28"/>
              </w:rPr>
              <w:t>建设后</w:t>
            </w:r>
          </w:p>
        </w:tc>
        <w:tc>
          <w:tcPr>
            <w:tcW w:w="1154" w:type="pct"/>
            <w:tcBorders>
              <w:tl2br w:val="nil"/>
              <w:tr2bl w:val="nil"/>
            </w:tcBorders>
            <w:shd w:val="clear" w:color="auto" w:fill="EEECE1"/>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b/>
                <w:bCs/>
                <w:sz w:val="28"/>
                <w:szCs w:val="28"/>
              </w:rPr>
            </w:pPr>
            <w:r>
              <w:rPr>
                <w:rFonts w:hint="eastAsia" w:ascii="仿宋" w:hAnsi="仿宋" w:eastAsia="仿宋" w:cs="仿宋"/>
                <w:b/>
                <w:bCs/>
                <w:sz w:val="28"/>
                <w:szCs w:val="28"/>
              </w:rPr>
              <w:t>减少/提升</w:t>
            </w:r>
          </w:p>
        </w:tc>
      </w:tr>
      <w:tr>
        <w:tblPrEx>
          <w:tblBorders>
            <w:top w:val="inset" w:color="595959" w:sz="6" w:space="0"/>
            <w:left w:val="inset" w:color="595959" w:sz="6" w:space="0"/>
            <w:bottom w:val="inset" w:color="595959" w:sz="6" w:space="0"/>
            <w:right w:val="inset" w:color="595959" w:sz="6" w:space="0"/>
            <w:insideH w:val="none" w:color="auto" w:sz="0" w:space="0"/>
            <w:insideV w:val="none" w:color="auto" w:sz="0" w:space="0"/>
          </w:tblBorders>
          <w:tblCellMar>
            <w:top w:w="0" w:type="dxa"/>
            <w:left w:w="0" w:type="dxa"/>
            <w:bottom w:w="0" w:type="dxa"/>
            <w:right w:w="0" w:type="dxa"/>
          </w:tblCellMar>
        </w:tblPrEx>
        <w:trPr>
          <w:trHeight w:val="480" w:hRule="atLeast"/>
          <w:tblCellSpacing w:w="0" w:type="dxa"/>
        </w:trPr>
        <w:tc>
          <w:tcPr>
            <w:tcW w:w="425"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sz w:val="28"/>
                <w:szCs w:val="28"/>
              </w:rPr>
            </w:pPr>
            <w:r>
              <w:rPr>
                <w:rFonts w:hint="eastAsia" w:ascii="仿宋" w:hAnsi="仿宋" w:eastAsia="仿宋" w:cs="仿宋"/>
                <w:sz w:val="28"/>
                <w:szCs w:val="28"/>
              </w:rPr>
              <w:t>1</w:t>
            </w:r>
          </w:p>
        </w:tc>
        <w:tc>
          <w:tcPr>
            <w:tcW w:w="987"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盘活人力资源</w:t>
            </w:r>
          </w:p>
        </w:tc>
        <w:tc>
          <w:tcPr>
            <w:tcW w:w="1141"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518人</w:t>
            </w:r>
          </w:p>
        </w:tc>
        <w:tc>
          <w:tcPr>
            <w:tcW w:w="1294"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382人</w:t>
            </w:r>
          </w:p>
        </w:tc>
        <w:tc>
          <w:tcPr>
            <w:tcW w:w="1154"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减少136人</w:t>
            </w:r>
          </w:p>
        </w:tc>
      </w:tr>
      <w:tr>
        <w:tblPrEx>
          <w:tblBorders>
            <w:top w:val="inset" w:color="595959" w:sz="6" w:space="0"/>
            <w:left w:val="inset" w:color="595959" w:sz="6" w:space="0"/>
            <w:bottom w:val="inset" w:color="595959" w:sz="6" w:space="0"/>
            <w:right w:val="inset" w:color="595959" w:sz="6" w:space="0"/>
            <w:insideH w:val="none" w:color="auto" w:sz="0" w:space="0"/>
            <w:insideV w:val="none" w:color="auto" w:sz="0" w:space="0"/>
          </w:tblBorders>
          <w:tblCellMar>
            <w:top w:w="0" w:type="dxa"/>
            <w:left w:w="0" w:type="dxa"/>
            <w:bottom w:w="0" w:type="dxa"/>
            <w:right w:w="0" w:type="dxa"/>
          </w:tblCellMar>
        </w:tblPrEx>
        <w:trPr>
          <w:trHeight w:val="480" w:hRule="atLeast"/>
          <w:tblCellSpacing w:w="0" w:type="dxa"/>
        </w:trPr>
        <w:tc>
          <w:tcPr>
            <w:tcW w:w="425"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sz w:val="28"/>
                <w:szCs w:val="28"/>
              </w:rPr>
            </w:pPr>
            <w:r>
              <w:rPr>
                <w:rFonts w:hint="eastAsia" w:ascii="仿宋" w:hAnsi="仿宋" w:eastAsia="仿宋" w:cs="仿宋"/>
                <w:sz w:val="28"/>
                <w:szCs w:val="28"/>
              </w:rPr>
              <w:t>2</w:t>
            </w:r>
          </w:p>
        </w:tc>
        <w:tc>
          <w:tcPr>
            <w:tcW w:w="987"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生产时率</w:t>
            </w:r>
          </w:p>
        </w:tc>
        <w:tc>
          <w:tcPr>
            <w:tcW w:w="1141"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88.50%</w:t>
            </w:r>
          </w:p>
        </w:tc>
        <w:tc>
          <w:tcPr>
            <w:tcW w:w="1294"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90%</w:t>
            </w:r>
          </w:p>
        </w:tc>
        <w:tc>
          <w:tcPr>
            <w:tcW w:w="1154"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提升1.5%</w:t>
            </w:r>
          </w:p>
        </w:tc>
      </w:tr>
      <w:tr>
        <w:tblPrEx>
          <w:tblBorders>
            <w:top w:val="inset" w:color="595959" w:sz="6" w:space="0"/>
            <w:left w:val="inset" w:color="595959" w:sz="6" w:space="0"/>
            <w:bottom w:val="inset" w:color="595959" w:sz="6" w:space="0"/>
            <w:right w:val="inset" w:color="595959" w:sz="6" w:space="0"/>
            <w:insideH w:val="none" w:color="auto" w:sz="0" w:space="0"/>
            <w:insideV w:val="none" w:color="auto" w:sz="0" w:space="0"/>
          </w:tblBorders>
          <w:tblCellMar>
            <w:top w:w="0" w:type="dxa"/>
            <w:left w:w="0" w:type="dxa"/>
            <w:bottom w:w="0" w:type="dxa"/>
            <w:right w:w="0" w:type="dxa"/>
          </w:tblCellMar>
        </w:tblPrEx>
        <w:trPr>
          <w:trHeight w:val="480" w:hRule="atLeast"/>
          <w:tblCellSpacing w:w="0" w:type="dxa"/>
        </w:trPr>
        <w:tc>
          <w:tcPr>
            <w:tcW w:w="425"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sz w:val="28"/>
                <w:szCs w:val="28"/>
              </w:rPr>
            </w:pPr>
            <w:r>
              <w:rPr>
                <w:rFonts w:hint="eastAsia" w:ascii="仿宋" w:hAnsi="仿宋" w:eastAsia="仿宋" w:cs="仿宋"/>
                <w:sz w:val="28"/>
                <w:szCs w:val="28"/>
              </w:rPr>
              <w:t>3</w:t>
            </w:r>
          </w:p>
        </w:tc>
        <w:tc>
          <w:tcPr>
            <w:tcW w:w="987"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稳产增产</w:t>
            </w:r>
          </w:p>
        </w:tc>
        <w:tc>
          <w:tcPr>
            <w:tcW w:w="1141"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19.405万吨/年</w:t>
            </w:r>
          </w:p>
        </w:tc>
        <w:tc>
          <w:tcPr>
            <w:tcW w:w="1294"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19.73万吨/年</w:t>
            </w:r>
          </w:p>
        </w:tc>
        <w:tc>
          <w:tcPr>
            <w:tcW w:w="1154"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提升3250吨</w:t>
            </w:r>
          </w:p>
        </w:tc>
      </w:tr>
      <w:tr>
        <w:tblPrEx>
          <w:tblBorders>
            <w:top w:val="inset" w:color="595959" w:sz="6" w:space="0"/>
            <w:left w:val="inset" w:color="595959" w:sz="6" w:space="0"/>
            <w:bottom w:val="inset" w:color="595959" w:sz="6" w:space="0"/>
            <w:right w:val="inset" w:color="595959" w:sz="6" w:space="0"/>
            <w:insideH w:val="none" w:color="auto" w:sz="0" w:space="0"/>
            <w:insideV w:val="none" w:color="auto" w:sz="0" w:space="0"/>
          </w:tblBorders>
          <w:tblCellMar>
            <w:top w:w="0" w:type="dxa"/>
            <w:left w:w="0" w:type="dxa"/>
            <w:bottom w:w="0" w:type="dxa"/>
            <w:right w:w="0" w:type="dxa"/>
          </w:tblCellMar>
        </w:tblPrEx>
        <w:trPr>
          <w:trHeight w:val="480" w:hRule="atLeast"/>
          <w:tblCellSpacing w:w="0" w:type="dxa"/>
        </w:trPr>
        <w:tc>
          <w:tcPr>
            <w:tcW w:w="425"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sz w:val="28"/>
                <w:szCs w:val="28"/>
              </w:rPr>
            </w:pPr>
            <w:r>
              <w:rPr>
                <w:rFonts w:hint="eastAsia" w:ascii="仿宋" w:hAnsi="仿宋" w:eastAsia="仿宋" w:cs="仿宋"/>
                <w:sz w:val="28"/>
                <w:szCs w:val="28"/>
              </w:rPr>
              <w:t>4</w:t>
            </w:r>
          </w:p>
        </w:tc>
        <w:tc>
          <w:tcPr>
            <w:tcW w:w="987"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油井免修期</w:t>
            </w:r>
          </w:p>
        </w:tc>
        <w:tc>
          <w:tcPr>
            <w:tcW w:w="1141"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440天</w:t>
            </w:r>
          </w:p>
        </w:tc>
        <w:tc>
          <w:tcPr>
            <w:tcW w:w="1294"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452天</w:t>
            </w:r>
          </w:p>
        </w:tc>
        <w:tc>
          <w:tcPr>
            <w:tcW w:w="1154"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提升12天</w:t>
            </w:r>
          </w:p>
        </w:tc>
      </w:tr>
      <w:tr>
        <w:tblPrEx>
          <w:tblBorders>
            <w:top w:val="inset" w:color="595959" w:sz="6" w:space="0"/>
            <w:left w:val="inset" w:color="595959" w:sz="6" w:space="0"/>
            <w:bottom w:val="inset" w:color="595959" w:sz="6" w:space="0"/>
            <w:right w:val="inset" w:color="595959" w:sz="6" w:space="0"/>
            <w:insideH w:val="none" w:color="auto" w:sz="0" w:space="0"/>
            <w:insideV w:val="none" w:color="auto" w:sz="0" w:space="0"/>
          </w:tblBorders>
          <w:tblCellMar>
            <w:top w:w="0" w:type="dxa"/>
            <w:left w:w="0" w:type="dxa"/>
            <w:bottom w:w="0" w:type="dxa"/>
            <w:right w:w="0" w:type="dxa"/>
          </w:tblCellMar>
        </w:tblPrEx>
        <w:trPr>
          <w:trHeight w:val="480" w:hRule="atLeast"/>
          <w:tblCellSpacing w:w="0" w:type="dxa"/>
        </w:trPr>
        <w:tc>
          <w:tcPr>
            <w:tcW w:w="425"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sz w:val="28"/>
                <w:szCs w:val="28"/>
              </w:rPr>
            </w:pPr>
            <w:r>
              <w:rPr>
                <w:rFonts w:hint="eastAsia" w:ascii="仿宋" w:hAnsi="仿宋" w:eastAsia="仿宋" w:cs="仿宋"/>
                <w:sz w:val="28"/>
                <w:szCs w:val="28"/>
              </w:rPr>
              <w:t>5</w:t>
            </w:r>
          </w:p>
        </w:tc>
        <w:tc>
          <w:tcPr>
            <w:tcW w:w="987"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减少成本</w:t>
            </w:r>
          </w:p>
        </w:tc>
        <w:tc>
          <w:tcPr>
            <w:tcW w:w="1141"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设备利用率低、外协用工多</w:t>
            </w:r>
          </w:p>
        </w:tc>
        <w:tc>
          <w:tcPr>
            <w:tcW w:w="1294"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盘活设备；压缩外协用工</w:t>
            </w:r>
          </w:p>
        </w:tc>
        <w:tc>
          <w:tcPr>
            <w:tcW w:w="1154"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节省74.6万元</w:t>
            </w:r>
          </w:p>
        </w:tc>
      </w:tr>
      <w:tr>
        <w:tblPrEx>
          <w:tblBorders>
            <w:top w:val="inset" w:color="595959" w:sz="6" w:space="0"/>
            <w:left w:val="inset" w:color="595959" w:sz="6" w:space="0"/>
            <w:bottom w:val="inset" w:color="595959" w:sz="6" w:space="0"/>
            <w:right w:val="inset" w:color="595959" w:sz="6" w:space="0"/>
            <w:insideH w:val="none" w:color="auto" w:sz="0" w:space="0"/>
            <w:insideV w:val="none" w:color="auto" w:sz="0" w:space="0"/>
          </w:tblBorders>
          <w:tblCellMar>
            <w:top w:w="0" w:type="dxa"/>
            <w:left w:w="0" w:type="dxa"/>
            <w:bottom w:w="0" w:type="dxa"/>
            <w:right w:w="0" w:type="dxa"/>
          </w:tblCellMar>
        </w:tblPrEx>
        <w:trPr>
          <w:trHeight w:val="480" w:hRule="atLeast"/>
          <w:tblCellSpacing w:w="0" w:type="dxa"/>
        </w:trPr>
        <w:tc>
          <w:tcPr>
            <w:tcW w:w="425"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sz w:val="28"/>
                <w:szCs w:val="28"/>
              </w:rPr>
            </w:pPr>
            <w:r>
              <w:rPr>
                <w:rFonts w:hint="eastAsia" w:ascii="仿宋" w:hAnsi="仿宋" w:eastAsia="仿宋" w:cs="仿宋"/>
                <w:sz w:val="28"/>
                <w:szCs w:val="28"/>
              </w:rPr>
              <w:t>6</w:t>
            </w:r>
          </w:p>
        </w:tc>
        <w:tc>
          <w:tcPr>
            <w:tcW w:w="987"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无纸化办公</w:t>
            </w:r>
          </w:p>
        </w:tc>
        <w:tc>
          <w:tcPr>
            <w:tcW w:w="1141"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纸质办公</w:t>
            </w:r>
          </w:p>
        </w:tc>
        <w:tc>
          <w:tcPr>
            <w:tcW w:w="1294"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在线无纸化办公</w:t>
            </w:r>
          </w:p>
        </w:tc>
        <w:tc>
          <w:tcPr>
            <w:tcW w:w="1154"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节省4.5万元</w:t>
            </w:r>
          </w:p>
        </w:tc>
      </w:tr>
      <w:tr>
        <w:tblPrEx>
          <w:tblBorders>
            <w:top w:val="inset" w:color="595959" w:sz="6" w:space="0"/>
            <w:left w:val="inset" w:color="595959" w:sz="6" w:space="0"/>
            <w:bottom w:val="inset" w:color="595959" w:sz="6" w:space="0"/>
            <w:right w:val="inset" w:color="595959" w:sz="6" w:space="0"/>
            <w:insideH w:val="none" w:color="auto" w:sz="0" w:space="0"/>
            <w:insideV w:val="none" w:color="auto" w:sz="0" w:space="0"/>
          </w:tblBorders>
          <w:tblCellMar>
            <w:top w:w="0" w:type="dxa"/>
            <w:left w:w="0" w:type="dxa"/>
            <w:bottom w:w="0" w:type="dxa"/>
            <w:right w:w="0" w:type="dxa"/>
          </w:tblCellMar>
        </w:tblPrEx>
        <w:trPr>
          <w:trHeight w:val="560" w:hRule="atLeast"/>
          <w:tblCellSpacing w:w="0" w:type="dxa"/>
        </w:trPr>
        <w:tc>
          <w:tcPr>
            <w:tcW w:w="425"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sz w:val="28"/>
                <w:szCs w:val="28"/>
              </w:rPr>
            </w:pPr>
            <w:r>
              <w:rPr>
                <w:rFonts w:hint="eastAsia" w:ascii="仿宋" w:hAnsi="仿宋" w:eastAsia="仿宋" w:cs="仿宋"/>
                <w:sz w:val="28"/>
                <w:szCs w:val="28"/>
              </w:rPr>
              <w:t>7</w:t>
            </w:r>
          </w:p>
        </w:tc>
        <w:tc>
          <w:tcPr>
            <w:tcW w:w="987"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电费消耗</w:t>
            </w:r>
          </w:p>
        </w:tc>
        <w:tc>
          <w:tcPr>
            <w:tcW w:w="1141"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以经验为主的间抽，稳产效果差</w:t>
            </w:r>
          </w:p>
        </w:tc>
        <w:tc>
          <w:tcPr>
            <w:tcW w:w="1294"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实行科学的间抽制度，保证稳产，节省电费</w:t>
            </w:r>
          </w:p>
        </w:tc>
        <w:tc>
          <w:tcPr>
            <w:tcW w:w="1154"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节省268.3万元</w:t>
            </w:r>
          </w:p>
        </w:tc>
      </w:tr>
      <w:tr>
        <w:tblPrEx>
          <w:tblBorders>
            <w:top w:val="inset" w:color="595959" w:sz="6" w:space="0"/>
            <w:left w:val="inset" w:color="595959" w:sz="6" w:space="0"/>
            <w:bottom w:val="inset" w:color="595959" w:sz="6" w:space="0"/>
            <w:right w:val="inset" w:color="595959" w:sz="6" w:space="0"/>
            <w:insideH w:val="none" w:color="auto" w:sz="0" w:space="0"/>
            <w:insideV w:val="none" w:color="auto" w:sz="0" w:space="0"/>
          </w:tblBorders>
          <w:tblCellMar>
            <w:top w:w="0" w:type="dxa"/>
            <w:left w:w="0" w:type="dxa"/>
            <w:bottom w:w="0" w:type="dxa"/>
            <w:right w:w="0" w:type="dxa"/>
          </w:tblCellMar>
        </w:tblPrEx>
        <w:trPr>
          <w:trHeight w:val="560" w:hRule="atLeast"/>
          <w:tblCellSpacing w:w="0" w:type="dxa"/>
        </w:trPr>
        <w:tc>
          <w:tcPr>
            <w:tcW w:w="425"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jc w:val="center"/>
              <w:textAlignment w:val="auto"/>
              <w:rPr>
                <w:rFonts w:ascii="仿宋" w:hAnsi="仿宋" w:eastAsia="仿宋" w:cs="仿宋"/>
                <w:sz w:val="28"/>
                <w:szCs w:val="28"/>
              </w:rPr>
            </w:pPr>
            <w:r>
              <w:rPr>
                <w:rFonts w:ascii="仿宋" w:hAnsi="仿宋" w:eastAsia="仿宋" w:cs="仿宋"/>
                <w:sz w:val="28"/>
                <w:szCs w:val="28"/>
              </w:rPr>
              <w:t>8</w:t>
            </w:r>
          </w:p>
        </w:tc>
        <w:tc>
          <w:tcPr>
            <w:tcW w:w="987"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车辆使用费</w:t>
            </w:r>
          </w:p>
        </w:tc>
        <w:tc>
          <w:tcPr>
            <w:tcW w:w="1141"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驻井模式，车辆使用量相对较少</w:t>
            </w:r>
          </w:p>
        </w:tc>
        <w:tc>
          <w:tcPr>
            <w:tcW w:w="1294"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巡检模式，按周期巡井，车辆使用费有所提高</w:t>
            </w:r>
          </w:p>
        </w:tc>
        <w:tc>
          <w:tcPr>
            <w:tcW w:w="1154" w:type="pct"/>
            <w:tcBorders>
              <w:tl2br w:val="nil"/>
              <w:tr2bl w:val="nil"/>
            </w:tcBorders>
            <w:shd w:val="clear" w:color="auto" w:fill="auto"/>
            <w:tcMar>
              <w:left w:w="108" w:type="dxa"/>
              <w:right w:w="108" w:type="dxa"/>
            </w:tcMar>
            <w:vAlign w:val="center"/>
          </w:tcPr>
          <w:p>
            <w:pPr>
              <w:pStyle w:val="18"/>
              <w:keepNext w:val="0"/>
              <w:keepLines w:val="0"/>
              <w:pageBreakBefore w:val="0"/>
              <w:widowControl/>
              <w:kinsoku/>
              <w:wordWrap/>
              <w:overflowPunct/>
              <w:topLinePunct w:val="0"/>
              <w:autoSpaceDE/>
              <w:autoSpaceDN/>
              <w:bidi w:val="0"/>
              <w:spacing w:beforeAutospacing="0" w:afterAutospacing="0" w:line="560" w:lineRule="exact"/>
              <w:ind w:left="0"/>
              <w:textAlignment w:val="auto"/>
              <w:rPr>
                <w:rFonts w:ascii="仿宋" w:hAnsi="仿宋" w:eastAsia="仿宋" w:cs="仿宋"/>
                <w:sz w:val="28"/>
                <w:szCs w:val="28"/>
              </w:rPr>
            </w:pPr>
            <w:r>
              <w:rPr>
                <w:rFonts w:hint="eastAsia" w:ascii="仿宋" w:hAnsi="仿宋" w:eastAsia="仿宋" w:cs="仿宋"/>
                <w:sz w:val="28"/>
                <w:szCs w:val="28"/>
              </w:rPr>
              <w:t>年增加费用1</w:t>
            </w:r>
            <w:r>
              <w:rPr>
                <w:rFonts w:ascii="仿宋" w:hAnsi="仿宋" w:eastAsia="仿宋" w:cs="仿宋"/>
                <w:sz w:val="28"/>
                <w:szCs w:val="28"/>
              </w:rPr>
              <w:t>2.1</w:t>
            </w:r>
            <w:r>
              <w:rPr>
                <w:rFonts w:hint="eastAsia" w:ascii="仿宋" w:hAnsi="仿宋" w:eastAsia="仿宋" w:cs="仿宋"/>
                <w:sz w:val="28"/>
                <w:szCs w:val="28"/>
              </w:rPr>
              <w:t>万</w:t>
            </w:r>
          </w:p>
        </w:tc>
      </w:tr>
    </w:tbl>
    <w:p>
      <w:pPr>
        <w:pStyle w:val="2"/>
        <w:keepNext w:val="0"/>
        <w:keepLines w:val="0"/>
        <w:pageBreakBefore w:val="0"/>
        <w:kinsoku/>
        <w:wordWrap/>
        <w:overflowPunct/>
        <w:topLinePunct w:val="0"/>
        <w:autoSpaceDE/>
        <w:autoSpaceDN/>
        <w:bidi w:val="0"/>
        <w:spacing w:beforeAutospacing="0" w:afterAutospacing="0" w:line="560" w:lineRule="exact"/>
        <w:ind w:left="0" w:firstLine="562" w:firstLineChars="200"/>
        <w:textAlignment w:val="auto"/>
        <w:outlineLvl w:val="1"/>
        <w:rPr>
          <w:rFonts w:ascii="仿宋" w:hAnsi="仿宋" w:eastAsia="仿宋" w:cs="Times New Roman"/>
          <w:b/>
          <w:bCs/>
          <w:sz w:val="28"/>
          <w:szCs w:val="28"/>
          <w:lang w:eastAsia="zh-Hans"/>
        </w:rPr>
      </w:pPr>
      <w:bookmarkStart w:id="72" w:name="_Toc141278975"/>
      <w:r>
        <w:rPr>
          <w:rFonts w:hint="eastAsia" w:ascii="仿宋" w:hAnsi="仿宋" w:eastAsia="仿宋" w:cs="Times New Roman"/>
          <w:b/>
          <w:bCs/>
          <w:sz w:val="28"/>
          <w:szCs w:val="28"/>
        </w:rPr>
        <w:t>（三）社会效益</w:t>
      </w:r>
      <w:bookmarkEnd w:id="71"/>
      <w:r>
        <w:rPr>
          <w:rFonts w:hint="eastAsia" w:ascii="仿宋" w:hAnsi="仿宋" w:eastAsia="仿宋" w:cs="Times New Roman"/>
          <w:b/>
          <w:bCs/>
          <w:sz w:val="28"/>
          <w:szCs w:val="28"/>
          <w:lang w:eastAsia="zh-Hans"/>
        </w:rPr>
        <w:t>倍增</w:t>
      </w:r>
      <w:bookmarkEnd w:id="72"/>
    </w:p>
    <w:p>
      <w:pPr>
        <w:pStyle w:val="2"/>
        <w:keepNext w:val="0"/>
        <w:keepLines w:val="0"/>
        <w:pageBreakBefore w:val="0"/>
        <w:kinsoku/>
        <w:wordWrap/>
        <w:overflowPunct/>
        <w:topLinePunct w:val="0"/>
        <w:autoSpaceDE/>
        <w:autoSpaceDN/>
        <w:bidi w:val="0"/>
        <w:spacing w:beforeAutospacing="0" w:afterAutospacing="0" w:line="560" w:lineRule="exact"/>
        <w:ind w:left="0" w:firstLine="562" w:firstLineChars="200"/>
        <w:textAlignment w:val="auto"/>
        <w:rPr>
          <w:rFonts w:ascii="仿宋" w:hAnsi="仿宋" w:eastAsia="仿宋" w:cs="Times New Roman"/>
          <w:sz w:val="28"/>
          <w:szCs w:val="28"/>
        </w:rPr>
      </w:pPr>
      <w:r>
        <w:rPr>
          <w:rFonts w:hint="eastAsia" w:ascii="仿宋" w:hAnsi="仿宋" w:eastAsia="仿宋" w:cs="Times New Roman"/>
          <w:b/>
          <w:bCs/>
          <w:sz w:val="28"/>
          <w:szCs w:val="28"/>
        </w:rPr>
        <w:t>（1）增强员工幸福感。</w:t>
      </w:r>
      <w:r>
        <w:rPr>
          <w:rFonts w:hint="eastAsia" w:ascii="仿宋" w:hAnsi="仿宋" w:eastAsia="仿宋" w:cs="Times New Roman"/>
          <w:sz w:val="28"/>
          <w:szCs w:val="28"/>
        </w:rPr>
        <w:t>实现“驻井制”向“巡井制”工作方式转变，大幅降低一线职工劳动强度，解决职工吃饭难问题，丰富职工业余文化生活，增强凝聚力和战斗力。</w:t>
      </w:r>
    </w:p>
    <w:p>
      <w:pPr>
        <w:pStyle w:val="2"/>
        <w:keepNext w:val="0"/>
        <w:keepLines w:val="0"/>
        <w:pageBreakBefore w:val="0"/>
        <w:kinsoku/>
        <w:wordWrap/>
        <w:overflowPunct/>
        <w:topLinePunct w:val="0"/>
        <w:autoSpaceDE/>
        <w:autoSpaceDN/>
        <w:bidi w:val="0"/>
        <w:spacing w:beforeAutospacing="0" w:afterAutospacing="0" w:line="560" w:lineRule="exact"/>
        <w:ind w:left="0" w:firstLine="562" w:firstLineChars="200"/>
        <w:textAlignment w:val="auto"/>
        <w:rPr>
          <w:rFonts w:ascii="仿宋" w:hAnsi="仿宋" w:eastAsia="仿宋" w:cs="Times New Roman"/>
          <w:sz w:val="28"/>
          <w:szCs w:val="28"/>
        </w:rPr>
      </w:pPr>
      <w:r>
        <w:rPr>
          <w:rFonts w:hint="eastAsia" w:ascii="仿宋" w:hAnsi="仿宋" w:eastAsia="仿宋" w:cs="Times New Roman"/>
          <w:b/>
          <w:bCs/>
          <w:sz w:val="28"/>
          <w:szCs w:val="28"/>
        </w:rPr>
        <w:t>（2）增强了企业市场竞争力。</w:t>
      </w:r>
      <w:r>
        <w:rPr>
          <w:rFonts w:hint="eastAsia" w:ascii="仿宋" w:hAnsi="仿宋" w:eastAsia="仿宋" w:cs="Times New Roman"/>
          <w:sz w:val="28"/>
          <w:szCs w:val="28"/>
        </w:rPr>
        <w:t>通过生产管理模式的转变，形成了以智能分析为驱动、以“数据在线采集—异常智能分析—任务闭环协同—效果跟踪评价”为链条的一体化智能采油业务管理运营模式；同时在转型发展过程中培养了一批数字化人才队伍，为采油厂、延长油田数字化转型奠定了人才基石。</w:t>
      </w:r>
    </w:p>
    <w:p>
      <w:pPr>
        <w:pStyle w:val="2"/>
        <w:keepNext w:val="0"/>
        <w:keepLines w:val="0"/>
        <w:pageBreakBefore w:val="0"/>
        <w:kinsoku/>
        <w:wordWrap/>
        <w:overflowPunct/>
        <w:topLinePunct w:val="0"/>
        <w:autoSpaceDE/>
        <w:autoSpaceDN/>
        <w:bidi w:val="0"/>
        <w:spacing w:beforeAutospacing="0" w:afterAutospacing="0" w:line="560" w:lineRule="exact"/>
        <w:ind w:left="0" w:firstLine="562" w:firstLineChars="200"/>
        <w:textAlignment w:val="auto"/>
        <w:rPr>
          <w:rFonts w:ascii="仿宋" w:hAnsi="仿宋" w:eastAsia="仿宋" w:cs="Times New Roman"/>
          <w:sz w:val="28"/>
          <w:szCs w:val="28"/>
        </w:rPr>
      </w:pPr>
      <w:r>
        <w:rPr>
          <w:rFonts w:hint="eastAsia" w:ascii="仿宋" w:hAnsi="仿宋" w:eastAsia="仿宋" w:cs="Times New Roman"/>
          <w:b/>
          <w:bCs/>
          <w:sz w:val="28"/>
          <w:szCs w:val="28"/>
        </w:rPr>
        <w:t>（3）为石油与化工行业树典型。</w:t>
      </w:r>
      <w:bookmarkEnd w:id="64"/>
      <w:bookmarkEnd w:id="65"/>
      <w:bookmarkEnd w:id="66"/>
      <w:bookmarkEnd w:id="67"/>
      <w:r>
        <w:rPr>
          <w:rFonts w:hint="eastAsia" w:ascii="仿宋" w:hAnsi="仿宋" w:eastAsia="仿宋" w:cs="Times New Roman"/>
          <w:sz w:val="28"/>
          <w:szCs w:val="28"/>
        </w:rPr>
        <w:t>新型采油作业区智能化协同管理创新实践成果，不仅可直接在延长油田进行推广，并形成可观的收益，同时也为延长石油数字化转型树立典范，也为石油化工行业数字化转型升级贡献了延长智慧。</w:t>
      </w:r>
    </w:p>
    <w:p>
      <w:pPr>
        <w:pStyle w:val="2"/>
        <w:keepNext w:val="0"/>
        <w:keepLines w:val="0"/>
        <w:pageBreakBefore w:val="0"/>
        <w:kinsoku/>
        <w:wordWrap/>
        <w:overflowPunct/>
        <w:topLinePunct w:val="0"/>
        <w:autoSpaceDE/>
        <w:autoSpaceDN/>
        <w:bidi w:val="0"/>
        <w:spacing w:beforeAutospacing="0" w:afterAutospacing="0" w:line="560" w:lineRule="exact"/>
        <w:ind w:left="0" w:firstLine="562" w:firstLineChars="200"/>
        <w:textAlignment w:val="auto"/>
        <w:rPr>
          <w:rFonts w:ascii="仿宋" w:hAnsi="仿宋" w:eastAsia="仿宋" w:cs="Times New Roman"/>
          <w:b/>
          <w:bCs/>
          <w:sz w:val="28"/>
          <w:szCs w:val="28"/>
        </w:rPr>
      </w:pPr>
      <w:r>
        <w:rPr>
          <w:rFonts w:hint="eastAsia" w:ascii="仿宋" w:hAnsi="仿宋" w:eastAsia="仿宋" w:cs="Times New Roman"/>
          <w:b/>
          <w:bCs/>
          <w:sz w:val="28"/>
          <w:szCs w:val="28"/>
        </w:rPr>
        <w:t>（4）加快企业数字化转型与智能化发展。</w:t>
      </w:r>
      <w:r>
        <w:rPr>
          <w:rFonts w:hint="eastAsia" w:ascii="仿宋" w:hAnsi="仿宋" w:eastAsia="仿宋" w:cs="Times New Roman"/>
          <w:sz w:val="28"/>
          <w:szCs w:val="28"/>
        </w:rPr>
        <w:t>通过一体化智能采油业务流程建立与管理模式创新的成功实践，为推动延长石油高质量发展注入了强劲动力，加快了延长石油建设世界一流企业的步伐。</w:t>
      </w:r>
    </w:p>
    <w:sectPr>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体">
    <w:altName w:val="仿宋"/>
    <w:panose1 w:val="00000000000000000000"/>
    <w:charset w:val="86"/>
    <w:family w:val="roman"/>
    <w:pitch w:val="default"/>
    <w:sig w:usb0="00000000" w:usb1="00000000" w:usb2="0000001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Arial Unicode MS"/>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9987260"/>
    </w:sdtPr>
    <w:sdtContent>
      <w:p>
        <w:pPr>
          <w:pStyle w:val="2"/>
          <w:jc w:val="center"/>
        </w:pPr>
        <w:r>
          <w:fldChar w:fldCharType="begin"/>
        </w:r>
        <w:r>
          <w:instrText xml:space="preserve">PAGE   \* MERGEFORMAT</w:instrText>
        </w:r>
        <w:r>
          <w:fldChar w:fldCharType="separate"/>
        </w:r>
        <w:r>
          <w:rPr>
            <w:lang w:val="zh-CN"/>
          </w:rPr>
          <w:t>2</w:t>
        </w:r>
        <w:r>
          <w:fldChar w:fldCharType="end"/>
        </w:r>
      </w:p>
    </w:sdtContent>
  </w:sdt>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PAGE   \* MERGEFORMAT</w:instrText>
    </w:r>
    <w:r>
      <w:fldChar w:fldCharType="separate"/>
    </w:r>
    <w:r>
      <w:rPr>
        <w:lang w:val="zh-CN"/>
      </w:rPr>
      <w:t>31</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张杰卿">
    <w15:presenceInfo w15:providerId="None" w15:userId="张杰卿"/>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2ODkzNWFiZTI4YWY1OGYxMzI5MzA3YWI4MGEzOWUifQ=="/>
  </w:docVars>
  <w:rsids>
    <w:rsidRoot w:val="006C0582"/>
    <w:rsid w:val="000021A8"/>
    <w:rsid w:val="000221EF"/>
    <w:rsid w:val="00026EAB"/>
    <w:rsid w:val="0003589D"/>
    <w:rsid w:val="0004603A"/>
    <w:rsid w:val="00046264"/>
    <w:rsid w:val="00046C16"/>
    <w:rsid w:val="00050F78"/>
    <w:rsid w:val="00062DDC"/>
    <w:rsid w:val="00065144"/>
    <w:rsid w:val="00067A8B"/>
    <w:rsid w:val="00080598"/>
    <w:rsid w:val="00081DF7"/>
    <w:rsid w:val="00081EEA"/>
    <w:rsid w:val="00083A0A"/>
    <w:rsid w:val="00092184"/>
    <w:rsid w:val="00092AF4"/>
    <w:rsid w:val="000A1592"/>
    <w:rsid w:val="000B304D"/>
    <w:rsid w:val="000E4C7D"/>
    <w:rsid w:val="00100EBC"/>
    <w:rsid w:val="00110F95"/>
    <w:rsid w:val="0011335D"/>
    <w:rsid w:val="00116C93"/>
    <w:rsid w:val="0014045F"/>
    <w:rsid w:val="00145F74"/>
    <w:rsid w:val="00153168"/>
    <w:rsid w:val="00157402"/>
    <w:rsid w:val="001632B3"/>
    <w:rsid w:val="001634D3"/>
    <w:rsid w:val="0016407D"/>
    <w:rsid w:val="00164A01"/>
    <w:rsid w:val="0017656E"/>
    <w:rsid w:val="001822BD"/>
    <w:rsid w:val="00194FD8"/>
    <w:rsid w:val="00197AE9"/>
    <w:rsid w:val="001B327C"/>
    <w:rsid w:val="001C24BE"/>
    <w:rsid w:val="001C2F9E"/>
    <w:rsid w:val="001F27FC"/>
    <w:rsid w:val="0021613D"/>
    <w:rsid w:val="00222195"/>
    <w:rsid w:val="00223355"/>
    <w:rsid w:val="00240089"/>
    <w:rsid w:val="00263EEE"/>
    <w:rsid w:val="00276904"/>
    <w:rsid w:val="00281CAF"/>
    <w:rsid w:val="002851F2"/>
    <w:rsid w:val="00291DD9"/>
    <w:rsid w:val="002A1952"/>
    <w:rsid w:val="002A2354"/>
    <w:rsid w:val="002C1899"/>
    <w:rsid w:val="002D2627"/>
    <w:rsid w:val="002E48A6"/>
    <w:rsid w:val="002F24F3"/>
    <w:rsid w:val="00335ECE"/>
    <w:rsid w:val="0033716B"/>
    <w:rsid w:val="00382262"/>
    <w:rsid w:val="00382FAC"/>
    <w:rsid w:val="003833EB"/>
    <w:rsid w:val="0039096C"/>
    <w:rsid w:val="003A0E27"/>
    <w:rsid w:val="003A4C2A"/>
    <w:rsid w:val="003B50AE"/>
    <w:rsid w:val="003B6DF5"/>
    <w:rsid w:val="003F4BF5"/>
    <w:rsid w:val="004060E3"/>
    <w:rsid w:val="00412825"/>
    <w:rsid w:val="00420053"/>
    <w:rsid w:val="0042248C"/>
    <w:rsid w:val="004261BB"/>
    <w:rsid w:val="00434F86"/>
    <w:rsid w:val="004823C4"/>
    <w:rsid w:val="004C7BA2"/>
    <w:rsid w:val="004D6D68"/>
    <w:rsid w:val="004E0608"/>
    <w:rsid w:val="004E2008"/>
    <w:rsid w:val="004E3DD6"/>
    <w:rsid w:val="004E7B27"/>
    <w:rsid w:val="00512150"/>
    <w:rsid w:val="005321A0"/>
    <w:rsid w:val="0053435A"/>
    <w:rsid w:val="005620A9"/>
    <w:rsid w:val="00567170"/>
    <w:rsid w:val="00580DED"/>
    <w:rsid w:val="005825A3"/>
    <w:rsid w:val="00592C43"/>
    <w:rsid w:val="00594AF5"/>
    <w:rsid w:val="005A698B"/>
    <w:rsid w:val="005B1128"/>
    <w:rsid w:val="005B49DF"/>
    <w:rsid w:val="005B5EA0"/>
    <w:rsid w:val="005C5E5D"/>
    <w:rsid w:val="005D1D26"/>
    <w:rsid w:val="005D3AD1"/>
    <w:rsid w:val="005D6891"/>
    <w:rsid w:val="005E11EA"/>
    <w:rsid w:val="005F4561"/>
    <w:rsid w:val="005F4A8F"/>
    <w:rsid w:val="0061274C"/>
    <w:rsid w:val="00623695"/>
    <w:rsid w:val="00627D60"/>
    <w:rsid w:val="00634E32"/>
    <w:rsid w:val="00642A42"/>
    <w:rsid w:val="00644277"/>
    <w:rsid w:val="006533CC"/>
    <w:rsid w:val="0065419B"/>
    <w:rsid w:val="006549F3"/>
    <w:rsid w:val="00654EA6"/>
    <w:rsid w:val="0068181C"/>
    <w:rsid w:val="00682F64"/>
    <w:rsid w:val="00685003"/>
    <w:rsid w:val="00686E65"/>
    <w:rsid w:val="00690D90"/>
    <w:rsid w:val="006975C5"/>
    <w:rsid w:val="006A283D"/>
    <w:rsid w:val="006A604F"/>
    <w:rsid w:val="006B5B98"/>
    <w:rsid w:val="006B735B"/>
    <w:rsid w:val="006C0582"/>
    <w:rsid w:val="006C5D49"/>
    <w:rsid w:val="006C6D70"/>
    <w:rsid w:val="006D06FA"/>
    <w:rsid w:val="006E31BA"/>
    <w:rsid w:val="006E6031"/>
    <w:rsid w:val="006F0335"/>
    <w:rsid w:val="00700E54"/>
    <w:rsid w:val="00737CEA"/>
    <w:rsid w:val="00743809"/>
    <w:rsid w:val="00752E5F"/>
    <w:rsid w:val="00753122"/>
    <w:rsid w:val="0076414E"/>
    <w:rsid w:val="007761C3"/>
    <w:rsid w:val="007A4B27"/>
    <w:rsid w:val="007C41DB"/>
    <w:rsid w:val="007F3099"/>
    <w:rsid w:val="007F5650"/>
    <w:rsid w:val="00811A30"/>
    <w:rsid w:val="00811B27"/>
    <w:rsid w:val="00815EAB"/>
    <w:rsid w:val="00834062"/>
    <w:rsid w:val="00834EB3"/>
    <w:rsid w:val="00843780"/>
    <w:rsid w:val="00853D3F"/>
    <w:rsid w:val="00864115"/>
    <w:rsid w:val="008649E0"/>
    <w:rsid w:val="00865A30"/>
    <w:rsid w:val="008942D9"/>
    <w:rsid w:val="008B1A1A"/>
    <w:rsid w:val="008B1C0B"/>
    <w:rsid w:val="008C2352"/>
    <w:rsid w:val="008C7146"/>
    <w:rsid w:val="008F1A67"/>
    <w:rsid w:val="00901AA8"/>
    <w:rsid w:val="00916F10"/>
    <w:rsid w:val="0092542A"/>
    <w:rsid w:val="00931A5A"/>
    <w:rsid w:val="0093208F"/>
    <w:rsid w:val="009343D2"/>
    <w:rsid w:val="009366A2"/>
    <w:rsid w:val="009373CE"/>
    <w:rsid w:val="0095620F"/>
    <w:rsid w:val="00960B55"/>
    <w:rsid w:val="00961858"/>
    <w:rsid w:val="00962E48"/>
    <w:rsid w:val="009651C2"/>
    <w:rsid w:val="009677F6"/>
    <w:rsid w:val="00972F62"/>
    <w:rsid w:val="00980275"/>
    <w:rsid w:val="00990BFB"/>
    <w:rsid w:val="00997047"/>
    <w:rsid w:val="009A1A33"/>
    <w:rsid w:val="009A292A"/>
    <w:rsid w:val="009C324E"/>
    <w:rsid w:val="009F7DE0"/>
    <w:rsid w:val="00A00699"/>
    <w:rsid w:val="00A04F04"/>
    <w:rsid w:val="00A21FF7"/>
    <w:rsid w:val="00A24AE4"/>
    <w:rsid w:val="00A27282"/>
    <w:rsid w:val="00A27460"/>
    <w:rsid w:val="00A33CC0"/>
    <w:rsid w:val="00A4303E"/>
    <w:rsid w:val="00A54E7B"/>
    <w:rsid w:val="00A6172C"/>
    <w:rsid w:val="00A6560B"/>
    <w:rsid w:val="00A748E7"/>
    <w:rsid w:val="00A7513E"/>
    <w:rsid w:val="00A762BB"/>
    <w:rsid w:val="00A77D94"/>
    <w:rsid w:val="00A850C0"/>
    <w:rsid w:val="00A872CC"/>
    <w:rsid w:val="00A8785C"/>
    <w:rsid w:val="00AC1F96"/>
    <w:rsid w:val="00AC42E3"/>
    <w:rsid w:val="00AC6FCC"/>
    <w:rsid w:val="00AE17D5"/>
    <w:rsid w:val="00AE1F48"/>
    <w:rsid w:val="00AE63A3"/>
    <w:rsid w:val="00AF3C05"/>
    <w:rsid w:val="00AF3FA3"/>
    <w:rsid w:val="00B1576D"/>
    <w:rsid w:val="00B67AD6"/>
    <w:rsid w:val="00B71646"/>
    <w:rsid w:val="00B73F70"/>
    <w:rsid w:val="00B763D4"/>
    <w:rsid w:val="00B824A4"/>
    <w:rsid w:val="00B830CA"/>
    <w:rsid w:val="00B925A8"/>
    <w:rsid w:val="00B93811"/>
    <w:rsid w:val="00B941A6"/>
    <w:rsid w:val="00B95796"/>
    <w:rsid w:val="00BB0425"/>
    <w:rsid w:val="00BD0BD3"/>
    <w:rsid w:val="00BE31D3"/>
    <w:rsid w:val="00BE3DA4"/>
    <w:rsid w:val="00BE76E8"/>
    <w:rsid w:val="00BF219C"/>
    <w:rsid w:val="00BF686A"/>
    <w:rsid w:val="00C17BD0"/>
    <w:rsid w:val="00C26A8A"/>
    <w:rsid w:val="00C323B0"/>
    <w:rsid w:val="00C337FB"/>
    <w:rsid w:val="00C35C78"/>
    <w:rsid w:val="00C37029"/>
    <w:rsid w:val="00C638DD"/>
    <w:rsid w:val="00C710E9"/>
    <w:rsid w:val="00C728FB"/>
    <w:rsid w:val="00C7647B"/>
    <w:rsid w:val="00C77479"/>
    <w:rsid w:val="00CA068B"/>
    <w:rsid w:val="00CA23B7"/>
    <w:rsid w:val="00CB0B7E"/>
    <w:rsid w:val="00CB0C9C"/>
    <w:rsid w:val="00CB5426"/>
    <w:rsid w:val="00CF109E"/>
    <w:rsid w:val="00D106A3"/>
    <w:rsid w:val="00D21166"/>
    <w:rsid w:val="00D33DAC"/>
    <w:rsid w:val="00D46E4B"/>
    <w:rsid w:val="00D57D9D"/>
    <w:rsid w:val="00D602C6"/>
    <w:rsid w:val="00D62D35"/>
    <w:rsid w:val="00D668EA"/>
    <w:rsid w:val="00D7786B"/>
    <w:rsid w:val="00D92332"/>
    <w:rsid w:val="00D9733B"/>
    <w:rsid w:val="00DA6205"/>
    <w:rsid w:val="00DA74A7"/>
    <w:rsid w:val="00DB26F5"/>
    <w:rsid w:val="00DC1C12"/>
    <w:rsid w:val="00DE2927"/>
    <w:rsid w:val="00DE2D53"/>
    <w:rsid w:val="00DE4353"/>
    <w:rsid w:val="00E01AAD"/>
    <w:rsid w:val="00E040D3"/>
    <w:rsid w:val="00E159F3"/>
    <w:rsid w:val="00E16B41"/>
    <w:rsid w:val="00E279AB"/>
    <w:rsid w:val="00E332B2"/>
    <w:rsid w:val="00E36DA0"/>
    <w:rsid w:val="00E41581"/>
    <w:rsid w:val="00E41975"/>
    <w:rsid w:val="00E41FA7"/>
    <w:rsid w:val="00E53686"/>
    <w:rsid w:val="00E64CB5"/>
    <w:rsid w:val="00E72040"/>
    <w:rsid w:val="00E73747"/>
    <w:rsid w:val="00E77539"/>
    <w:rsid w:val="00E86D5E"/>
    <w:rsid w:val="00E92702"/>
    <w:rsid w:val="00EB4571"/>
    <w:rsid w:val="00EB7859"/>
    <w:rsid w:val="00EC72CB"/>
    <w:rsid w:val="00EF4B58"/>
    <w:rsid w:val="00F05B46"/>
    <w:rsid w:val="00F06B67"/>
    <w:rsid w:val="00F1246B"/>
    <w:rsid w:val="00F13077"/>
    <w:rsid w:val="00F25613"/>
    <w:rsid w:val="00F42778"/>
    <w:rsid w:val="00F43BC0"/>
    <w:rsid w:val="00F45C0C"/>
    <w:rsid w:val="00F56651"/>
    <w:rsid w:val="00F70200"/>
    <w:rsid w:val="00F71AC4"/>
    <w:rsid w:val="00F93387"/>
    <w:rsid w:val="00F959ED"/>
    <w:rsid w:val="00FA1C60"/>
    <w:rsid w:val="00FA605D"/>
    <w:rsid w:val="00FA63CD"/>
    <w:rsid w:val="00FB0DEA"/>
    <w:rsid w:val="00FD0614"/>
    <w:rsid w:val="02016857"/>
    <w:rsid w:val="04056A14"/>
    <w:rsid w:val="040D7310"/>
    <w:rsid w:val="04207935"/>
    <w:rsid w:val="06A81301"/>
    <w:rsid w:val="07997F84"/>
    <w:rsid w:val="0C19626E"/>
    <w:rsid w:val="0E055832"/>
    <w:rsid w:val="0E992895"/>
    <w:rsid w:val="0EB10EAF"/>
    <w:rsid w:val="138B25F3"/>
    <w:rsid w:val="13B844BC"/>
    <w:rsid w:val="14310E3F"/>
    <w:rsid w:val="14960B79"/>
    <w:rsid w:val="16876077"/>
    <w:rsid w:val="168B7FC0"/>
    <w:rsid w:val="1A1365EB"/>
    <w:rsid w:val="1A676352"/>
    <w:rsid w:val="1F535504"/>
    <w:rsid w:val="2001010C"/>
    <w:rsid w:val="20EE5E5A"/>
    <w:rsid w:val="22BA6CBA"/>
    <w:rsid w:val="243D2C13"/>
    <w:rsid w:val="24D84B58"/>
    <w:rsid w:val="24DA75EA"/>
    <w:rsid w:val="24ED3D67"/>
    <w:rsid w:val="25800D63"/>
    <w:rsid w:val="25F46FE1"/>
    <w:rsid w:val="27EA3133"/>
    <w:rsid w:val="2D7A37AB"/>
    <w:rsid w:val="2E81030A"/>
    <w:rsid w:val="2EC06134"/>
    <w:rsid w:val="380A4AB0"/>
    <w:rsid w:val="393D6B8A"/>
    <w:rsid w:val="3ADF3CD5"/>
    <w:rsid w:val="3ED64498"/>
    <w:rsid w:val="3ED72C00"/>
    <w:rsid w:val="43210986"/>
    <w:rsid w:val="473C06AA"/>
    <w:rsid w:val="47FB4C68"/>
    <w:rsid w:val="490E5B54"/>
    <w:rsid w:val="4958455F"/>
    <w:rsid w:val="4CF53FF5"/>
    <w:rsid w:val="4D9B6717"/>
    <w:rsid w:val="4DAC01C0"/>
    <w:rsid w:val="4E24405F"/>
    <w:rsid w:val="4E41222E"/>
    <w:rsid w:val="4F2A7B48"/>
    <w:rsid w:val="4F6627E6"/>
    <w:rsid w:val="51704C12"/>
    <w:rsid w:val="51A36527"/>
    <w:rsid w:val="53135C5B"/>
    <w:rsid w:val="54485B16"/>
    <w:rsid w:val="56AF425A"/>
    <w:rsid w:val="56C875A1"/>
    <w:rsid w:val="58E93DFA"/>
    <w:rsid w:val="5A365719"/>
    <w:rsid w:val="5B597A6A"/>
    <w:rsid w:val="5F0A6E4B"/>
    <w:rsid w:val="5F2814D5"/>
    <w:rsid w:val="5F4955F3"/>
    <w:rsid w:val="614A63D0"/>
    <w:rsid w:val="61977D42"/>
    <w:rsid w:val="649C5D83"/>
    <w:rsid w:val="67112D43"/>
    <w:rsid w:val="6D4C7A48"/>
    <w:rsid w:val="6DC239EE"/>
    <w:rsid w:val="70F861CC"/>
    <w:rsid w:val="71CB3E8E"/>
    <w:rsid w:val="72357F35"/>
    <w:rsid w:val="74635737"/>
    <w:rsid w:val="74AA67BE"/>
    <w:rsid w:val="7564495B"/>
    <w:rsid w:val="760C59C5"/>
    <w:rsid w:val="77402DEB"/>
    <w:rsid w:val="7B6C63C2"/>
    <w:rsid w:val="7C0A626E"/>
    <w:rsid w:val="7D0D024F"/>
    <w:rsid w:val="7DFB6F10"/>
    <w:rsid w:val="7E421307"/>
    <w:rsid w:val="7F7C6A39"/>
    <w:rsid w:val="FDECD79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link w:val="28"/>
    <w:qFormat/>
    <w:uiPriority w:val="0"/>
    <w:pPr>
      <w:keepNext/>
      <w:keepLines/>
      <w:tabs>
        <w:tab w:val="left" w:pos="180"/>
        <w:tab w:val="left" w:pos="900"/>
        <w:tab w:val="left" w:pos="1590"/>
      </w:tabs>
      <w:adjustRightInd w:val="0"/>
      <w:snapToGrid w:val="0"/>
      <w:spacing w:beforeLines="100" w:afterLines="50" w:line="360" w:lineRule="auto"/>
      <w:jc w:val="left"/>
      <w:outlineLvl w:val="1"/>
    </w:pPr>
    <w:rPr>
      <w:rFonts w:ascii="Times New Roman" w:hAnsi="Times New Roman" w:eastAsia="宋体" w:cs="Times New Roman"/>
      <w:b/>
      <w:bCs/>
      <w:snapToGrid w:val="0"/>
      <w:sz w:val="28"/>
    </w:rPr>
  </w:style>
  <w:style w:type="character" w:default="1" w:styleId="20">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25"/>
    <w:unhideWhenUsed/>
    <w:qFormat/>
    <w:uiPriority w:val="99"/>
    <w:pPr>
      <w:tabs>
        <w:tab w:val="center" w:pos="4153"/>
        <w:tab w:val="right" w:pos="8306"/>
      </w:tabs>
      <w:snapToGrid w:val="0"/>
      <w:jc w:val="left"/>
    </w:pPr>
    <w:rPr>
      <w:sz w:val="18"/>
      <w:szCs w:val="18"/>
    </w:rPr>
  </w:style>
  <w:style w:type="paragraph" w:styleId="4">
    <w:name w:val="toc 7"/>
    <w:basedOn w:val="1"/>
    <w:next w:val="1"/>
    <w:unhideWhenUsed/>
    <w:qFormat/>
    <w:uiPriority w:val="39"/>
    <w:pPr>
      <w:ind w:left="1260"/>
      <w:jc w:val="left"/>
    </w:pPr>
    <w:rPr>
      <w:rFonts w:cstheme="minorHAnsi"/>
      <w:sz w:val="18"/>
      <w:szCs w:val="18"/>
    </w:rPr>
  </w:style>
  <w:style w:type="paragraph" w:styleId="5">
    <w:name w:val="caption"/>
    <w:basedOn w:val="1"/>
    <w:next w:val="1"/>
    <w:qFormat/>
    <w:uiPriority w:val="0"/>
    <w:pPr>
      <w:spacing w:afterLines="50"/>
      <w:jc w:val="center"/>
    </w:pPr>
    <w:rPr>
      <w:rFonts w:cs="Arial"/>
    </w:rPr>
  </w:style>
  <w:style w:type="paragraph" w:styleId="6">
    <w:name w:val="annotation text"/>
    <w:basedOn w:val="1"/>
    <w:semiHidden/>
    <w:unhideWhenUsed/>
    <w:qFormat/>
    <w:uiPriority w:val="99"/>
    <w:pPr>
      <w:jc w:val="left"/>
    </w:pPr>
  </w:style>
  <w:style w:type="paragraph" w:styleId="7">
    <w:name w:val="Body Text"/>
    <w:basedOn w:val="1"/>
    <w:link w:val="31"/>
    <w:qFormat/>
    <w:uiPriority w:val="0"/>
    <w:pPr>
      <w:spacing w:line="440" w:lineRule="exact"/>
    </w:pPr>
    <w:rPr>
      <w:rFonts w:ascii="Times New Roman" w:hAnsi="Times New Roman" w:eastAsia="仿宋体" w:cs="Times New Roman"/>
      <w:sz w:val="32"/>
      <w:szCs w:val="20"/>
    </w:rPr>
  </w:style>
  <w:style w:type="paragraph" w:styleId="8">
    <w:name w:val="toc 5"/>
    <w:basedOn w:val="1"/>
    <w:next w:val="1"/>
    <w:unhideWhenUsed/>
    <w:qFormat/>
    <w:uiPriority w:val="39"/>
    <w:pPr>
      <w:ind w:left="840"/>
      <w:jc w:val="left"/>
    </w:pPr>
    <w:rPr>
      <w:rFonts w:cstheme="minorHAnsi"/>
      <w:sz w:val="18"/>
      <w:szCs w:val="18"/>
    </w:rPr>
  </w:style>
  <w:style w:type="paragraph" w:styleId="9">
    <w:name w:val="toc 3"/>
    <w:basedOn w:val="1"/>
    <w:next w:val="1"/>
    <w:unhideWhenUsed/>
    <w:qFormat/>
    <w:uiPriority w:val="39"/>
    <w:pPr>
      <w:ind w:left="420"/>
      <w:jc w:val="left"/>
    </w:pPr>
    <w:rPr>
      <w:rFonts w:cstheme="minorHAnsi"/>
      <w:i/>
      <w:iCs/>
      <w:sz w:val="20"/>
      <w:szCs w:val="20"/>
    </w:rPr>
  </w:style>
  <w:style w:type="paragraph" w:styleId="10">
    <w:name w:val="toc 8"/>
    <w:basedOn w:val="1"/>
    <w:next w:val="1"/>
    <w:unhideWhenUsed/>
    <w:qFormat/>
    <w:uiPriority w:val="39"/>
    <w:pPr>
      <w:ind w:left="1470"/>
      <w:jc w:val="left"/>
    </w:pPr>
    <w:rPr>
      <w:rFonts w:cstheme="minorHAnsi"/>
      <w:sz w:val="18"/>
      <w:szCs w:val="18"/>
    </w:rPr>
  </w:style>
  <w:style w:type="paragraph" w:styleId="11">
    <w:name w:val="Balloon Text"/>
    <w:basedOn w:val="1"/>
    <w:link w:val="27"/>
    <w:semiHidden/>
    <w:unhideWhenUsed/>
    <w:qFormat/>
    <w:uiPriority w:val="99"/>
    <w:rPr>
      <w:sz w:val="18"/>
      <w:szCs w:val="18"/>
    </w:rPr>
  </w:style>
  <w:style w:type="paragraph" w:styleId="12">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spacing w:before="120" w:after="120"/>
      <w:jc w:val="left"/>
    </w:pPr>
    <w:rPr>
      <w:rFonts w:cstheme="minorHAnsi"/>
      <w:b/>
      <w:bCs/>
      <w:caps/>
      <w:sz w:val="20"/>
      <w:szCs w:val="20"/>
    </w:rPr>
  </w:style>
  <w:style w:type="paragraph" w:styleId="14">
    <w:name w:val="toc 4"/>
    <w:basedOn w:val="1"/>
    <w:next w:val="1"/>
    <w:unhideWhenUsed/>
    <w:qFormat/>
    <w:uiPriority w:val="39"/>
    <w:pPr>
      <w:ind w:left="630"/>
      <w:jc w:val="left"/>
    </w:pPr>
    <w:rPr>
      <w:rFonts w:cstheme="minorHAnsi"/>
      <w:sz w:val="18"/>
      <w:szCs w:val="18"/>
    </w:rPr>
  </w:style>
  <w:style w:type="paragraph" w:styleId="15">
    <w:name w:val="toc 6"/>
    <w:basedOn w:val="1"/>
    <w:next w:val="1"/>
    <w:unhideWhenUsed/>
    <w:qFormat/>
    <w:uiPriority w:val="39"/>
    <w:pPr>
      <w:ind w:left="1050"/>
      <w:jc w:val="left"/>
    </w:pPr>
    <w:rPr>
      <w:rFonts w:cstheme="minorHAnsi"/>
      <w:sz w:val="18"/>
      <w:szCs w:val="18"/>
    </w:rPr>
  </w:style>
  <w:style w:type="paragraph" w:styleId="16">
    <w:name w:val="toc 2"/>
    <w:basedOn w:val="1"/>
    <w:next w:val="1"/>
    <w:unhideWhenUsed/>
    <w:qFormat/>
    <w:uiPriority w:val="39"/>
    <w:pPr>
      <w:ind w:left="210"/>
      <w:jc w:val="left"/>
    </w:pPr>
    <w:rPr>
      <w:rFonts w:cstheme="minorHAnsi"/>
      <w:smallCaps/>
      <w:sz w:val="20"/>
      <w:szCs w:val="20"/>
    </w:rPr>
  </w:style>
  <w:style w:type="paragraph" w:styleId="17">
    <w:name w:val="toc 9"/>
    <w:basedOn w:val="1"/>
    <w:next w:val="1"/>
    <w:unhideWhenUsed/>
    <w:qFormat/>
    <w:uiPriority w:val="39"/>
    <w:pPr>
      <w:ind w:left="1680"/>
      <w:jc w:val="left"/>
    </w:pPr>
    <w:rPr>
      <w:rFonts w:cstheme="minorHAnsi"/>
      <w:sz w:val="18"/>
      <w:szCs w:val="18"/>
    </w:rPr>
  </w:style>
  <w:style w:type="paragraph" w:styleId="18">
    <w:name w:val="Normal (Web)"/>
    <w:basedOn w:val="1"/>
    <w:semiHidden/>
    <w:unhideWhenUsed/>
    <w:qFormat/>
    <w:uiPriority w:val="99"/>
    <w:pPr>
      <w:spacing w:beforeAutospacing="1" w:afterAutospacing="1"/>
      <w:jc w:val="left"/>
    </w:pPr>
    <w:rPr>
      <w:rFonts w:cs="Times New Roman"/>
      <w:kern w:val="0"/>
      <w:sz w:val="24"/>
    </w:rPr>
  </w:style>
  <w:style w:type="character" w:styleId="21">
    <w:name w:val="Strong"/>
    <w:basedOn w:val="20"/>
    <w:qFormat/>
    <w:uiPriority w:val="22"/>
    <w:rPr>
      <w:b/>
    </w:rPr>
  </w:style>
  <w:style w:type="character" w:styleId="22">
    <w:name w:val="Hyperlink"/>
    <w:basedOn w:val="20"/>
    <w:unhideWhenUsed/>
    <w:qFormat/>
    <w:uiPriority w:val="99"/>
    <w:rPr>
      <w:color w:val="0000FF" w:themeColor="hyperlink"/>
      <w:u w:val="single"/>
      <w14:textFill>
        <w14:solidFill>
          <w14:schemeClr w14:val="hlink"/>
        </w14:solidFill>
      </w14:textFill>
    </w:rPr>
  </w:style>
  <w:style w:type="character" w:styleId="23">
    <w:name w:val="annotation reference"/>
    <w:basedOn w:val="20"/>
    <w:semiHidden/>
    <w:unhideWhenUsed/>
    <w:qFormat/>
    <w:uiPriority w:val="99"/>
    <w:rPr>
      <w:sz w:val="21"/>
      <w:szCs w:val="21"/>
    </w:rPr>
  </w:style>
  <w:style w:type="character" w:customStyle="1" w:styleId="24">
    <w:name w:val="页眉 字符"/>
    <w:basedOn w:val="20"/>
    <w:link w:val="12"/>
    <w:qFormat/>
    <w:uiPriority w:val="99"/>
    <w:rPr>
      <w:sz w:val="18"/>
      <w:szCs w:val="18"/>
    </w:rPr>
  </w:style>
  <w:style w:type="character" w:customStyle="1" w:styleId="25">
    <w:name w:val="页脚 字符"/>
    <w:basedOn w:val="20"/>
    <w:link w:val="2"/>
    <w:qFormat/>
    <w:uiPriority w:val="99"/>
    <w:rPr>
      <w:sz w:val="18"/>
      <w:szCs w:val="18"/>
    </w:rPr>
  </w:style>
  <w:style w:type="paragraph" w:customStyle="1" w:styleId="26">
    <w:name w:val="样式 首行缩进:  0 字符"/>
    <w:basedOn w:val="1"/>
    <w:qFormat/>
    <w:uiPriority w:val="0"/>
  </w:style>
  <w:style w:type="character" w:customStyle="1" w:styleId="27">
    <w:name w:val="批注框文本 字符"/>
    <w:basedOn w:val="20"/>
    <w:link w:val="11"/>
    <w:semiHidden/>
    <w:qFormat/>
    <w:uiPriority w:val="99"/>
    <w:rPr>
      <w:rFonts w:asciiTheme="minorHAnsi" w:hAnsiTheme="minorHAnsi" w:eastAsiaTheme="minorEastAsia" w:cstheme="minorBidi"/>
      <w:kern w:val="2"/>
      <w:sz w:val="18"/>
      <w:szCs w:val="18"/>
    </w:rPr>
  </w:style>
  <w:style w:type="character" w:customStyle="1" w:styleId="28">
    <w:name w:val="标题 2 字符"/>
    <w:basedOn w:val="20"/>
    <w:link w:val="3"/>
    <w:qFormat/>
    <w:uiPriority w:val="0"/>
    <w:rPr>
      <w:b/>
      <w:bCs/>
      <w:snapToGrid w:val="0"/>
      <w:kern w:val="2"/>
      <w:sz w:val="28"/>
      <w:szCs w:val="24"/>
    </w:rPr>
  </w:style>
  <w:style w:type="paragraph" w:styleId="29">
    <w:name w:val="List Paragraph"/>
    <w:basedOn w:val="1"/>
    <w:link w:val="30"/>
    <w:qFormat/>
    <w:uiPriority w:val="34"/>
    <w:pPr>
      <w:spacing w:line="360" w:lineRule="auto"/>
      <w:ind w:firstLine="200" w:firstLineChars="200"/>
    </w:pPr>
    <w:rPr>
      <w:rFonts w:ascii="Times New Roman" w:hAnsi="Times New Roman" w:eastAsia="宋体" w:cs="Times New Roman"/>
      <w:sz w:val="24"/>
      <w:szCs w:val="22"/>
    </w:rPr>
  </w:style>
  <w:style w:type="character" w:customStyle="1" w:styleId="30">
    <w:name w:val="列表段落 字符"/>
    <w:link w:val="29"/>
    <w:qFormat/>
    <w:uiPriority w:val="34"/>
    <w:rPr>
      <w:kern w:val="2"/>
      <w:sz w:val="24"/>
      <w:szCs w:val="22"/>
    </w:rPr>
  </w:style>
  <w:style w:type="character" w:customStyle="1" w:styleId="31">
    <w:name w:val="正文文本 字符"/>
    <w:basedOn w:val="20"/>
    <w:link w:val="7"/>
    <w:qFormat/>
    <w:uiPriority w:val="0"/>
    <w:rPr>
      <w:rFonts w:eastAsia="仿宋体"/>
      <w:kern w:val="2"/>
      <w:sz w:val="32"/>
    </w:rPr>
  </w:style>
  <w:style w:type="paragraph" w:customStyle="1" w:styleId="32">
    <w:name w:val="修订1"/>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1A8DF-8E10-4062-A536-20C4F54AF019}">
  <ds:schemaRefs/>
</ds:datastoreItem>
</file>

<file path=docProps/app.xml><?xml version="1.0" encoding="utf-8"?>
<Properties xmlns="http://schemas.openxmlformats.org/officeDocument/2006/extended-properties" xmlns:vt="http://schemas.openxmlformats.org/officeDocument/2006/docPropsVTypes">
  <Template>Normal.dotm</Template>
  <Pages>26</Pages>
  <Words>2401</Words>
  <Characters>13691</Characters>
  <Lines>114</Lines>
  <Paragraphs>32</Paragraphs>
  <TotalTime>1</TotalTime>
  <ScaleCrop>false</ScaleCrop>
  <LinksUpToDate>false</LinksUpToDate>
  <CharactersWithSpaces>16060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2022-03-30T22:25:00Z</dcterms:created>
  <dc:creator>王 磊</dc:creator>
  <cp:lastModifiedBy>好天气am</cp:lastModifiedBy>
  <dcterms:modified xsi:type="dcterms:W3CDTF">2023-12-20T03:37:40Z</dcterms:modified>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E84790FFBA09452DB1F6080222ADD805_13</vt:lpwstr>
  </property>
</Properties>
</file>